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DCDC9" w14:textId="7D43CB9A" w:rsidR="00AA314F" w:rsidRPr="00342B16" w:rsidRDefault="001F3F6B" w:rsidP="001F3F6B">
      <w:pPr>
        <w:jc w:val="center"/>
        <w:rPr>
          <w:b/>
          <w:bCs/>
          <w:color w:val="0070C0"/>
          <w:sz w:val="32"/>
          <w:szCs w:val="32"/>
        </w:rPr>
      </w:pPr>
      <w:r w:rsidRPr="00342B16">
        <w:rPr>
          <w:b/>
          <w:bCs/>
          <w:color w:val="0070C0"/>
          <w:sz w:val="32"/>
          <w:szCs w:val="32"/>
        </w:rPr>
        <w:t>Promotion and Tenure Q&amp;A</w:t>
      </w:r>
    </w:p>
    <w:p w14:paraId="1922FF0F" w14:textId="7CF658BC" w:rsidR="00CA17AB" w:rsidRPr="00342B16" w:rsidRDefault="00CA17AB" w:rsidP="001F3F6B">
      <w:pPr>
        <w:jc w:val="center"/>
        <w:rPr>
          <w:i/>
          <w:iCs/>
          <w:color w:val="0070C0"/>
        </w:rPr>
      </w:pPr>
      <w:r w:rsidRPr="00342B16">
        <w:rPr>
          <w:i/>
          <w:iCs/>
          <w:color w:val="0070C0"/>
        </w:rPr>
        <w:t xml:space="preserve">Updated </w:t>
      </w:r>
      <w:r w:rsidR="00FE1BAA" w:rsidRPr="00342B16">
        <w:rPr>
          <w:i/>
          <w:iCs/>
          <w:color w:val="0070C0"/>
        </w:rPr>
        <w:t>January</w:t>
      </w:r>
      <w:r w:rsidRPr="00342B16">
        <w:rPr>
          <w:i/>
          <w:iCs/>
          <w:color w:val="0070C0"/>
        </w:rPr>
        <w:t xml:space="preserve"> 202</w:t>
      </w:r>
      <w:r w:rsidR="00D756F6" w:rsidRPr="00342B16">
        <w:rPr>
          <w:i/>
          <w:iCs/>
          <w:color w:val="0070C0"/>
        </w:rPr>
        <w:t>5</w:t>
      </w:r>
    </w:p>
    <w:p w14:paraId="01F371CB" w14:textId="77777777" w:rsidR="001F3F6B" w:rsidRPr="00342B16" w:rsidRDefault="001F3F6B" w:rsidP="006747FA"/>
    <w:p w14:paraId="75AB6DEB" w14:textId="5F9F3717" w:rsidR="00C141F1" w:rsidRPr="00342B16" w:rsidRDefault="004B6820" w:rsidP="006747FA">
      <w:pPr>
        <w:rPr>
          <w:b/>
        </w:rPr>
      </w:pPr>
      <w:r w:rsidRPr="00342B16">
        <w:rPr>
          <w:b/>
        </w:rPr>
        <w:t xml:space="preserve">Q: </w:t>
      </w:r>
      <w:r w:rsidR="00C141F1" w:rsidRPr="00342B16">
        <w:rPr>
          <w:b/>
        </w:rPr>
        <w:t>What is the tenure process and where do I find more information</w:t>
      </w:r>
      <w:r w:rsidRPr="00342B16">
        <w:rPr>
          <w:b/>
        </w:rPr>
        <w:t>?</w:t>
      </w:r>
    </w:p>
    <w:p w14:paraId="7A1163D0" w14:textId="77777777" w:rsidR="006747FA" w:rsidRPr="00342B16" w:rsidRDefault="006747FA" w:rsidP="006747FA">
      <w:pPr>
        <w:rPr>
          <w:b/>
        </w:rPr>
      </w:pPr>
    </w:p>
    <w:p w14:paraId="2B7939DF" w14:textId="325BA4E5" w:rsidR="00EB5536" w:rsidRPr="00342B16" w:rsidRDefault="004B6820" w:rsidP="006747FA">
      <w:r w:rsidRPr="00342B16">
        <w:rPr>
          <w:b/>
        </w:rPr>
        <w:t>A:</w:t>
      </w:r>
      <w:r w:rsidRPr="00342B16">
        <w:t xml:space="preserve"> </w:t>
      </w:r>
      <w:r w:rsidR="00C141F1" w:rsidRPr="00342B16">
        <w:t>The SOE policy</w:t>
      </w:r>
      <w:r w:rsidR="00C339FB" w:rsidRPr="00342B16">
        <w:t xml:space="preserve"> (</w:t>
      </w:r>
      <w:hyperlink r:id="rId7" w:history="1">
        <w:r w:rsidR="00C339FB" w:rsidRPr="00342B16">
          <w:rPr>
            <w:rStyle w:val="Hyperlink"/>
          </w:rPr>
          <w:t>https://engineering.unm.edu/faculty/resources-for-faculty.html</w:t>
        </w:r>
      </w:hyperlink>
      <w:r w:rsidR="00C339FB" w:rsidRPr="00342B16">
        <w:t xml:space="preserve">) </w:t>
      </w:r>
      <w:r w:rsidR="00C141F1" w:rsidRPr="00342B16">
        <w:t xml:space="preserve">and this Q&amp;A document </w:t>
      </w:r>
      <w:r w:rsidR="00C339FB" w:rsidRPr="00342B16">
        <w:t>are</w:t>
      </w:r>
      <w:r w:rsidR="00C141F1" w:rsidRPr="00342B16">
        <w:t xml:space="preserve"> consistent with the P&amp;T guidelines of the Office of Academic Affairs (the Provost’s office) including the COVID-impact guidelines which are updated annually.</w:t>
      </w:r>
      <w:r w:rsidR="00EB5536" w:rsidRPr="00342B16">
        <w:t xml:space="preserve"> </w:t>
      </w:r>
    </w:p>
    <w:p w14:paraId="014E5242" w14:textId="77777777" w:rsidR="00EB5536" w:rsidRPr="00342B16" w:rsidRDefault="00EB5536" w:rsidP="006747FA"/>
    <w:p w14:paraId="415D2CBB" w14:textId="0BD640A0" w:rsidR="00C141F1" w:rsidRPr="00342B16" w:rsidRDefault="004B6820" w:rsidP="006747FA">
      <w:r w:rsidRPr="00342B16">
        <w:t xml:space="preserve">The </w:t>
      </w:r>
      <w:r w:rsidR="008968B8" w:rsidRPr="00342B16">
        <w:t xml:space="preserve">Academic Affairs </w:t>
      </w:r>
      <w:r w:rsidR="00EB5536" w:rsidRPr="00342B16">
        <w:t>P&amp;T</w:t>
      </w:r>
      <w:r w:rsidR="008968B8" w:rsidRPr="00342B16">
        <w:t xml:space="preserve"> Guidelines</w:t>
      </w:r>
      <w:r w:rsidRPr="00342B16">
        <w:t xml:space="preserve"> are here:</w:t>
      </w:r>
      <w:r w:rsidR="00EB5536" w:rsidRPr="00342B16">
        <w:t xml:space="preserve"> </w:t>
      </w:r>
      <w:hyperlink r:id="rId8" w:history="1">
        <w:r w:rsidR="00EB5536" w:rsidRPr="00342B16">
          <w:rPr>
            <w:rStyle w:val="Hyperlink"/>
          </w:rPr>
          <w:t>https://provost.unm.edu/promotion-and-tenure/guidelines/provosts-promotion-tenure-guidelines/index.html</w:t>
        </w:r>
      </w:hyperlink>
      <w:r w:rsidR="00EB5536" w:rsidRPr="00342B16">
        <w:t xml:space="preserve"> </w:t>
      </w:r>
    </w:p>
    <w:p w14:paraId="60F13757" w14:textId="77777777" w:rsidR="004B6820" w:rsidRPr="00342B16" w:rsidRDefault="004B6820" w:rsidP="006747FA"/>
    <w:p w14:paraId="2D00EECB" w14:textId="58830C51" w:rsidR="004B6820" w:rsidRPr="00342B16" w:rsidRDefault="004B6820" w:rsidP="006747FA">
      <w:r w:rsidRPr="00342B16">
        <w:t xml:space="preserve">Here is a visual explanation of the tenure timeline. </w:t>
      </w:r>
      <w:r w:rsidR="004C28F6" w:rsidRPr="00342B16">
        <w:t>Your dossier will be reviewed by your department</w:t>
      </w:r>
      <w:r w:rsidR="00C339FB" w:rsidRPr="00342B16">
        <w:t xml:space="preserve"> (P&amp;T Committee, eligible voting faculty colleagues, and Chair)</w:t>
      </w:r>
      <w:r w:rsidR="004C28F6" w:rsidRPr="00342B16">
        <w:t xml:space="preserve">, </w:t>
      </w:r>
      <w:r w:rsidR="00EB5536" w:rsidRPr="00342B16">
        <w:t>the School of Engineering</w:t>
      </w:r>
      <w:r w:rsidR="00C339FB" w:rsidRPr="00342B16">
        <w:t xml:space="preserve"> (SOE P&amp;T Committee and the Dean)</w:t>
      </w:r>
      <w:r w:rsidR="00EB5536" w:rsidRPr="00342B16">
        <w:t xml:space="preserve">, </w:t>
      </w:r>
      <w:r w:rsidR="004C28F6" w:rsidRPr="00342B16">
        <w:t xml:space="preserve">and the </w:t>
      </w:r>
      <w:r w:rsidR="00C339FB" w:rsidRPr="00342B16">
        <w:t>provost</w:t>
      </w:r>
      <w:r w:rsidR="004C28F6" w:rsidRPr="00342B16">
        <w:t xml:space="preserve"> office</w:t>
      </w:r>
      <w:r w:rsidR="00C339FB" w:rsidRPr="00342B16">
        <w:t xml:space="preserve"> (PARC committee, SVP, and Provost)</w:t>
      </w:r>
      <w:r w:rsidR="004C28F6" w:rsidRPr="00342B16">
        <w:t xml:space="preserve">. </w:t>
      </w:r>
      <w:r w:rsidR="004D5C2E" w:rsidRPr="00342B16">
        <w:t>University due</w:t>
      </w:r>
      <w:r w:rsidRPr="00342B16">
        <w:t xml:space="preserve"> dates are in the </w:t>
      </w:r>
      <w:r w:rsidR="008968B8" w:rsidRPr="00342B16">
        <w:t>Academic Affairs P</w:t>
      </w:r>
      <w:r w:rsidR="00EB5536" w:rsidRPr="00342B16">
        <w:t>&amp;</w:t>
      </w:r>
      <w:r w:rsidR="008968B8" w:rsidRPr="00342B16">
        <w:t>T</w:t>
      </w:r>
      <w:r w:rsidRPr="00342B16">
        <w:t xml:space="preserve"> </w:t>
      </w:r>
      <w:r w:rsidR="008968B8" w:rsidRPr="00342B16">
        <w:t>Guidelines</w:t>
      </w:r>
      <w:r w:rsidRPr="00342B16">
        <w:t>.</w:t>
      </w:r>
      <w:r w:rsidR="004D5C2E" w:rsidRPr="00342B16">
        <w:t xml:space="preserve"> Each </w:t>
      </w:r>
      <w:r w:rsidR="00F837BD" w:rsidRPr="00342B16">
        <w:t xml:space="preserve">School or College will set an earlier deadline, and each department will also set a deadline for candidates to submit their portion of the </w:t>
      </w:r>
      <w:r w:rsidR="00C339FB" w:rsidRPr="00342B16">
        <w:t>dossier</w:t>
      </w:r>
      <w:r w:rsidR="00F837BD" w:rsidRPr="00342B16">
        <w:t xml:space="preserve">. </w:t>
      </w:r>
    </w:p>
    <w:p w14:paraId="3279AEEE" w14:textId="2AF0FA2F" w:rsidR="004B6820" w:rsidRPr="00342B16" w:rsidRDefault="004B6820" w:rsidP="006747FA"/>
    <w:p w14:paraId="79BAA288" w14:textId="6A114C19" w:rsidR="004B6820" w:rsidRPr="00342B16" w:rsidRDefault="004B6820" w:rsidP="006747FA">
      <w:r w:rsidRPr="00342B16">
        <w:rPr>
          <w:noProof/>
        </w:rPr>
        <w:drawing>
          <wp:inline distT="0" distB="0" distL="0" distR="0" wp14:anchorId="34A14435" wp14:editId="38252BC7">
            <wp:extent cx="5853430" cy="2751285"/>
            <wp:effectExtent l="0" t="0" r="1270" b="5080"/>
            <wp:docPr id="4" name="Picture 3" descr="Diagram, funnel chart&#10;&#10;Description automatically generated">
              <a:extLst xmlns:a="http://schemas.openxmlformats.org/drawingml/2006/main">
                <a:ext uri="{FF2B5EF4-FFF2-40B4-BE49-F238E27FC236}">
                  <a16:creationId xmlns:a16="http://schemas.microsoft.com/office/drawing/2014/main" id="{7726A4A2-A977-6E97-7353-EF3E08B7C9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iagram, funnel chart&#10;&#10;Description automatically generated">
                      <a:extLst>
                        <a:ext uri="{FF2B5EF4-FFF2-40B4-BE49-F238E27FC236}">
                          <a16:creationId xmlns:a16="http://schemas.microsoft.com/office/drawing/2014/main" id="{7726A4A2-A977-6E97-7353-EF3E08B7C9E1}"/>
                        </a:ext>
                      </a:extLst>
                    </pic:cNvPr>
                    <pic:cNvPicPr>
                      <a:picLocks noChangeAspect="1"/>
                    </pic:cNvPicPr>
                  </pic:nvPicPr>
                  <pic:blipFill rotWithShape="1">
                    <a:blip r:embed="rId9"/>
                    <a:srcRect t="3240" b="7380"/>
                    <a:stretch/>
                  </pic:blipFill>
                  <pic:spPr bwMode="auto">
                    <a:xfrm>
                      <a:off x="0" y="0"/>
                      <a:ext cx="5875689" cy="2761747"/>
                    </a:xfrm>
                    <a:prstGeom prst="rect">
                      <a:avLst/>
                    </a:prstGeom>
                    <a:ln>
                      <a:noFill/>
                    </a:ln>
                    <a:extLst>
                      <a:ext uri="{53640926-AAD7-44D8-BBD7-CCE9431645EC}">
                        <a14:shadowObscured xmlns:a14="http://schemas.microsoft.com/office/drawing/2010/main"/>
                      </a:ext>
                    </a:extLst>
                  </pic:spPr>
                </pic:pic>
              </a:graphicData>
            </a:graphic>
          </wp:inline>
        </w:drawing>
      </w:r>
    </w:p>
    <w:p w14:paraId="752DF1B9" w14:textId="77777777" w:rsidR="004B6820" w:rsidRPr="00342B16" w:rsidRDefault="004B6820" w:rsidP="006747FA"/>
    <w:p w14:paraId="0FA3E733" w14:textId="082F2970" w:rsidR="004B6820" w:rsidRPr="00342B16" w:rsidRDefault="004B6820" w:rsidP="006747FA">
      <w:pPr>
        <w:rPr>
          <w:b/>
        </w:rPr>
      </w:pPr>
      <w:r w:rsidRPr="00342B16">
        <w:rPr>
          <w:b/>
        </w:rPr>
        <w:t>Q: Should I provide a summary of my major accomplishments?</w:t>
      </w:r>
    </w:p>
    <w:p w14:paraId="14555F5E" w14:textId="77777777" w:rsidR="006747FA" w:rsidRPr="00342B16" w:rsidRDefault="006747FA" w:rsidP="006747FA">
      <w:pPr>
        <w:rPr>
          <w:b/>
        </w:rPr>
      </w:pPr>
    </w:p>
    <w:p w14:paraId="409A3ED7" w14:textId="051768B7" w:rsidR="004C28F6" w:rsidRPr="00342B16" w:rsidRDefault="004B6820" w:rsidP="00671271">
      <w:r w:rsidRPr="00342B16">
        <w:rPr>
          <w:b/>
        </w:rPr>
        <w:t>A:</w:t>
      </w:r>
      <w:r w:rsidRPr="00342B16">
        <w:t xml:space="preserve"> Yes! There is not a place to upload a summary document to the RPT submission</w:t>
      </w:r>
      <w:r w:rsidR="00EB5536" w:rsidRPr="00342B16">
        <w:t xml:space="preserve"> site</w:t>
      </w:r>
      <w:r w:rsidRPr="00342B16">
        <w:t>. However, the SOE asks you to includ</w:t>
      </w:r>
      <w:r w:rsidR="004C28F6" w:rsidRPr="00342B16">
        <w:t>e</w:t>
      </w:r>
      <w:r w:rsidR="00EB5536" w:rsidRPr="00342B16">
        <w:t xml:space="preserve"> a</w:t>
      </w:r>
      <w:r w:rsidR="004C28F6" w:rsidRPr="00342B16">
        <w:t xml:space="preserve"> cover page summarizing your major accomplishments as the first single page in your CV.</w:t>
      </w:r>
      <w:r w:rsidR="00C1611E" w:rsidRPr="00342B16">
        <w:t xml:space="preserve"> </w:t>
      </w:r>
      <w:r w:rsidR="00FC6E04" w:rsidRPr="00342B16">
        <w:t xml:space="preserve">Candidates and reviewers should keep in mind that evaluations are holistic and not determined by any </w:t>
      </w:r>
      <w:proofErr w:type="gramStart"/>
      <w:r w:rsidR="00FC6E04" w:rsidRPr="00342B16">
        <w:t>particular metric</w:t>
      </w:r>
      <w:proofErr w:type="gramEnd"/>
      <w:r w:rsidR="00FC6E04" w:rsidRPr="00342B16">
        <w:t xml:space="preserve">. Candidates should use this summary to </w:t>
      </w:r>
      <w:r w:rsidR="00FC6E04" w:rsidRPr="00342B16">
        <w:rPr>
          <w:b/>
          <w:bCs/>
        </w:rPr>
        <w:t>briefly</w:t>
      </w:r>
      <w:r w:rsidR="00FC6E04" w:rsidRPr="00342B16">
        <w:t xml:space="preserve"> highlight</w:t>
      </w:r>
      <w:r w:rsidR="00C339FB" w:rsidRPr="00342B16">
        <w:t>,</w:t>
      </w:r>
      <w:r w:rsidR="00FC6E04" w:rsidRPr="00342B16">
        <w:t xml:space="preserve"> within a </w:t>
      </w:r>
      <w:r w:rsidR="00FC6E04" w:rsidRPr="00342B16">
        <w:rPr>
          <w:b/>
          <w:bCs/>
        </w:rPr>
        <w:t>single page</w:t>
      </w:r>
      <w:r w:rsidR="00FC6E04" w:rsidRPr="00342B16">
        <w:t>, their major accomplishments</w:t>
      </w:r>
      <w:r w:rsidR="00671271" w:rsidRPr="00342B16">
        <w:t xml:space="preserve"> in the areas of research, teaching, and service</w:t>
      </w:r>
      <w:r w:rsidR="00FC6E04" w:rsidRPr="00342B16">
        <w:t>.</w:t>
      </w:r>
      <w:r w:rsidR="00EB5536" w:rsidRPr="00342B16">
        <w:t xml:space="preserve"> </w:t>
      </w:r>
      <w:r w:rsidR="00FC6E04" w:rsidRPr="00342B16">
        <w:t xml:space="preserve">This is not a full list of </w:t>
      </w:r>
      <w:r w:rsidR="00C339FB" w:rsidRPr="00342B16">
        <w:t>activities but</w:t>
      </w:r>
      <w:r w:rsidR="00FC6E04" w:rsidRPr="00342B16">
        <w:t xml:space="preserve"> should be thought of as an </w:t>
      </w:r>
      <w:r w:rsidR="00FC6E04" w:rsidRPr="00342B16">
        <w:lastRenderedPageBreak/>
        <w:t>abstract that highlights key strengths from the full dossier.</w:t>
      </w:r>
      <w:r w:rsidR="007914DD" w:rsidRPr="00342B16">
        <w:t xml:space="preserve"> </w:t>
      </w:r>
      <w:r w:rsidR="00EB5536" w:rsidRPr="00342B16">
        <w:t>Below are some items to consider</w:t>
      </w:r>
      <w:r w:rsidR="00E13B13" w:rsidRPr="00342B16">
        <w:t xml:space="preserve"> including in the summary page</w:t>
      </w:r>
      <w:r w:rsidR="00EB5536" w:rsidRPr="00342B16">
        <w:t xml:space="preserve">: </w:t>
      </w:r>
    </w:p>
    <w:p w14:paraId="09E48D94" w14:textId="77777777" w:rsidR="00671271" w:rsidRPr="00342B16" w:rsidRDefault="00671271" w:rsidP="00671271"/>
    <w:p w14:paraId="62C91470" w14:textId="146A0EBA" w:rsidR="0010527B" w:rsidRPr="00342B16" w:rsidRDefault="0010527B" w:rsidP="00D47EFB">
      <w:pPr>
        <w:pStyle w:val="ListParagraph"/>
        <w:numPr>
          <w:ilvl w:val="0"/>
          <w:numId w:val="8"/>
        </w:numPr>
        <w:snapToGrid w:val="0"/>
        <w:spacing w:after="80"/>
        <w:contextualSpacing w:val="0"/>
      </w:pPr>
      <w:r w:rsidRPr="00342B16">
        <w:t>Brief highlights of research</w:t>
      </w:r>
    </w:p>
    <w:p w14:paraId="7869A5CE" w14:textId="6610993A" w:rsidR="004C28F6" w:rsidRPr="00342B16" w:rsidRDefault="004C28F6" w:rsidP="00671271">
      <w:pPr>
        <w:pStyle w:val="ListParagraph"/>
        <w:numPr>
          <w:ilvl w:val="1"/>
          <w:numId w:val="8"/>
        </w:numPr>
        <w:snapToGrid w:val="0"/>
        <w:spacing w:after="80"/>
        <w:contextualSpacing w:val="0"/>
      </w:pPr>
      <w:r w:rsidRPr="00342B16">
        <w:t xml:space="preserve"># of </w:t>
      </w:r>
      <w:r w:rsidR="00671271" w:rsidRPr="00342B16">
        <w:t xml:space="preserve">peer-reviewed </w:t>
      </w:r>
      <w:r w:rsidR="00C339FB" w:rsidRPr="00342B16">
        <w:t>j</w:t>
      </w:r>
      <w:r w:rsidRPr="00342B16">
        <w:t xml:space="preserve">ournal </w:t>
      </w:r>
      <w:r w:rsidR="00C339FB" w:rsidRPr="00342B16">
        <w:t>p</w:t>
      </w:r>
      <w:r w:rsidRPr="00342B16">
        <w:t xml:space="preserve">ublications </w:t>
      </w:r>
    </w:p>
    <w:p w14:paraId="080AB8AA" w14:textId="6876BC1F" w:rsidR="004C28F6" w:rsidRPr="00342B16" w:rsidRDefault="004C28F6" w:rsidP="00671271">
      <w:pPr>
        <w:pStyle w:val="ListParagraph"/>
        <w:numPr>
          <w:ilvl w:val="1"/>
          <w:numId w:val="8"/>
        </w:numPr>
        <w:snapToGrid w:val="0"/>
        <w:spacing w:after="80"/>
        <w:contextualSpacing w:val="0"/>
      </w:pPr>
      <w:r w:rsidRPr="00342B16">
        <w:t xml:space="preserve"># </w:t>
      </w:r>
      <w:r w:rsidR="00C339FB" w:rsidRPr="00342B16">
        <w:t>c</w:t>
      </w:r>
      <w:r w:rsidRPr="00342B16">
        <w:t xml:space="preserve">onference </w:t>
      </w:r>
      <w:r w:rsidR="00C339FB" w:rsidRPr="00342B16">
        <w:t>p</w:t>
      </w:r>
      <w:r w:rsidRPr="00342B16">
        <w:t>ublications (and # peer reviewed)</w:t>
      </w:r>
      <w:r w:rsidR="0010527B" w:rsidRPr="00342B16">
        <w:t xml:space="preserve"> as well as other publications</w:t>
      </w:r>
    </w:p>
    <w:p w14:paraId="1E5B09BB" w14:textId="4BA67920" w:rsidR="004C28F6" w:rsidRPr="00342B16" w:rsidRDefault="0010527B" w:rsidP="00671271">
      <w:pPr>
        <w:pStyle w:val="ListParagraph"/>
        <w:numPr>
          <w:ilvl w:val="1"/>
          <w:numId w:val="8"/>
        </w:numPr>
        <w:snapToGrid w:val="0"/>
        <w:spacing w:after="80"/>
        <w:contextualSpacing w:val="0"/>
      </w:pPr>
      <w:r w:rsidRPr="00342B16">
        <w:t>A single statement summarizing t</w:t>
      </w:r>
      <w:r w:rsidR="00C1611E" w:rsidRPr="00342B16">
        <w:t xml:space="preserve">otal </w:t>
      </w:r>
      <w:r w:rsidRPr="00342B16">
        <w:t>funding</w:t>
      </w:r>
      <w:r w:rsidR="00C1611E" w:rsidRPr="00342B16">
        <w:t xml:space="preserve"> awarded to UNM in your s</w:t>
      </w:r>
      <w:r w:rsidR="004C28F6" w:rsidRPr="00342B16">
        <w:t xml:space="preserve">ponsored </w:t>
      </w:r>
      <w:r w:rsidR="00EB5536" w:rsidRPr="00342B16">
        <w:t>r</w:t>
      </w:r>
      <w:r w:rsidR="004C28F6" w:rsidRPr="00342B16">
        <w:t xml:space="preserve">esearch </w:t>
      </w:r>
      <w:r w:rsidR="00C1611E" w:rsidRPr="00342B16">
        <w:t xml:space="preserve">and brief examples of </w:t>
      </w:r>
      <w:r w:rsidR="004C28F6" w:rsidRPr="00342B16">
        <w:t>major sponsors</w:t>
      </w:r>
      <w:r w:rsidR="00EB5536" w:rsidRPr="00342B16">
        <w:t xml:space="preserve"> or</w:t>
      </w:r>
      <w:r w:rsidR="004C28F6" w:rsidRPr="00342B16">
        <w:t xml:space="preserve"> </w:t>
      </w:r>
      <w:r w:rsidR="00C1611E" w:rsidRPr="00342B16">
        <w:t>funders (i.e. NSF, DOE, DOD and industry)</w:t>
      </w:r>
      <w:r w:rsidRPr="00342B16">
        <w:t>.</w:t>
      </w:r>
      <w:r w:rsidR="00C1611E" w:rsidRPr="00342B16">
        <w:t xml:space="preserve"> </w:t>
      </w:r>
    </w:p>
    <w:p w14:paraId="259118B6" w14:textId="75A07665" w:rsidR="004C28F6" w:rsidRPr="00342B16" w:rsidRDefault="004C28F6" w:rsidP="00671271">
      <w:pPr>
        <w:pStyle w:val="ListParagraph"/>
        <w:numPr>
          <w:ilvl w:val="1"/>
          <w:numId w:val="8"/>
        </w:numPr>
        <w:snapToGrid w:val="0"/>
        <w:spacing w:after="80"/>
        <w:contextualSpacing w:val="0"/>
      </w:pPr>
      <w:r w:rsidRPr="00342B16">
        <w:t xml:space="preserve"># </w:t>
      </w:r>
      <w:r w:rsidR="0010527B" w:rsidRPr="00342B16">
        <w:t xml:space="preserve">graduated </w:t>
      </w:r>
      <w:r w:rsidRPr="00342B16">
        <w:t>PhD</w:t>
      </w:r>
      <w:r w:rsidR="0010527B" w:rsidRPr="00342B16">
        <w:t xml:space="preserve"> students, </w:t>
      </w:r>
      <w:r w:rsidR="00EB5536" w:rsidRPr="00342B16">
        <w:t xml:space="preserve"># of graduated </w:t>
      </w:r>
      <w:r w:rsidR="0010527B" w:rsidRPr="00342B16">
        <w:t xml:space="preserve">research </w:t>
      </w:r>
      <w:r w:rsidRPr="00342B16">
        <w:t>MS</w:t>
      </w:r>
      <w:r w:rsidR="00C339FB" w:rsidRPr="00342B16">
        <w:t xml:space="preserve"> students</w:t>
      </w:r>
      <w:r w:rsidR="00EB5536" w:rsidRPr="00342B16">
        <w:t>, and # of</w:t>
      </w:r>
      <w:r w:rsidR="0010527B" w:rsidRPr="00342B16">
        <w:t xml:space="preserve"> research undergraduate </w:t>
      </w:r>
      <w:r w:rsidR="00C1611E" w:rsidRPr="00342B16">
        <w:t xml:space="preserve">advisees </w:t>
      </w:r>
    </w:p>
    <w:p w14:paraId="4A6DC66C" w14:textId="3641A747" w:rsidR="004C28F6" w:rsidRPr="00342B16" w:rsidRDefault="004C28F6" w:rsidP="00671271">
      <w:pPr>
        <w:pStyle w:val="ListParagraph"/>
        <w:numPr>
          <w:ilvl w:val="1"/>
          <w:numId w:val="8"/>
        </w:numPr>
        <w:snapToGrid w:val="0"/>
        <w:spacing w:after="80"/>
        <w:contextualSpacing w:val="0"/>
      </w:pPr>
      <w:r w:rsidRPr="00342B16">
        <w:t xml:space="preserve"># </w:t>
      </w:r>
      <w:r w:rsidR="00EB5536" w:rsidRPr="00342B16">
        <w:t>c</w:t>
      </w:r>
      <w:r w:rsidRPr="00342B16">
        <w:t>urrent PhD</w:t>
      </w:r>
      <w:r w:rsidR="0010527B" w:rsidRPr="00342B16">
        <w:t>,</w:t>
      </w:r>
      <w:r w:rsidRPr="00342B16">
        <w:t xml:space="preserve"> MS </w:t>
      </w:r>
      <w:r w:rsidR="0010527B" w:rsidRPr="00342B16">
        <w:t>&amp; undergrad</w:t>
      </w:r>
      <w:r w:rsidR="00EB5536" w:rsidRPr="00342B16">
        <w:t>uate</w:t>
      </w:r>
      <w:r w:rsidR="0010527B" w:rsidRPr="00342B16">
        <w:t xml:space="preserve"> </w:t>
      </w:r>
      <w:r w:rsidRPr="00342B16">
        <w:t xml:space="preserve">research </w:t>
      </w:r>
      <w:r w:rsidR="00C1611E" w:rsidRPr="00342B16">
        <w:t>advisees</w:t>
      </w:r>
    </w:p>
    <w:p w14:paraId="706201EF" w14:textId="7AB293E3" w:rsidR="004C28F6" w:rsidRPr="00342B16" w:rsidRDefault="004C28F6" w:rsidP="00671271">
      <w:pPr>
        <w:pStyle w:val="ListParagraph"/>
        <w:numPr>
          <w:ilvl w:val="1"/>
          <w:numId w:val="8"/>
        </w:numPr>
        <w:snapToGrid w:val="0"/>
        <w:spacing w:after="80"/>
        <w:contextualSpacing w:val="0"/>
      </w:pPr>
      <w:r w:rsidRPr="00342B16">
        <w:t xml:space="preserve"># </w:t>
      </w:r>
      <w:r w:rsidR="00C339FB" w:rsidRPr="00342B16">
        <w:t>p</w:t>
      </w:r>
      <w:r w:rsidRPr="00342B16">
        <w:t xml:space="preserve">atents </w:t>
      </w:r>
      <w:r w:rsidR="00EB5536" w:rsidRPr="00342B16">
        <w:t>i</w:t>
      </w:r>
      <w:r w:rsidRPr="00342B16">
        <w:t>ssued and disclosed</w:t>
      </w:r>
    </w:p>
    <w:p w14:paraId="7AF132D2" w14:textId="02B87CC3" w:rsidR="004C28F6" w:rsidRPr="00342B16" w:rsidRDefault="004C28F6" w:rsidP="00671271">
      <w:pPr>
        <w:pStyle w:val="ListParagraph"/>
        <w:numPr>
          <w:ilvl w:val="1"/>
          <w:numId w:val="8"/>
        </w:numPr>
        <w:snapToGrid w:val="0"/>
        <w:spacing w:after="80"/>
        <w:contextualSpacing w:val="0"/>
      </w:pPr>
      <w:r w:rsidRPr="00342B16">
        <w:t xml:space="preserve">h-index </w:t>
      </w:r>
      <w:r w:rsidR="00E13B13" w:rsidRPr="00342B16">
        <w:t>and</w:t>
      </w:r>
      <w:r w:rsidRPr="00342B16">
        <w:t xml:space="preserve"> # </w:t>
      </w:r>
      <w:r w:rsidR="00C1611E" w:rsidRPr="00342B16">
        <w:t>c</w:t>
      </w:r>
      <w:r w:rsidRPr="00342B16">
        <w:t xml:space="preserve">itations of </w:t>
      </w:r>
      <w:r w:rsidR="003B493B" w:rsidRPr="00342B16">
        <w:t>p</w:t>
      </w:r>
      <w:r w:rsidRPr="00342B16">
        <w:t xml:space="preserve">ublications with date </w:t>
      </w:r>
      <w:r w:rsidR="0010527B" w:rsidRPr="00342B16">
        <w:t xml:space="preserve">and source </w:t>
      </w:r>
      <w:r w:rsidRPr="00342B16">
        <w:t>of query</w:t>
      </w:r>
    </w:p>
    <w:p w14:paraId="48049752" w14:textId="7F198790" w:rsidR="00671271" w:rsidRPr="00342B16" w:rsidRDefault="00671271" w:rsidP="00D47EFB">
      <w:pPr>
        <w:pStyle w:val="ListParagraph"/>
        <w:numPr>
          <w:ilvl w:val="0"/>
          <w:numId w:val="8"/>
        </w:numPr>
        <w:snapToGrid w:val="0"/>
        <w:spacing w:after="80"/>
        <w:contextualSpacing w:val="0"/>
      </w:pPr>
      <w:r w:rsidRPr="00342B16">
        <w:t>Highlights of teaching</w:t>
      </w:r>
    </w:p>
    <w:p w14:paraId="22ED49BB" w14:textId="43C3C25F" w:rsidR="004C28F6" w:rsidRPr="00342B16" w:rsidRDefault="00C339FB" w:rsidP="00671271">
      <w:pPr>
        <w:pStyle w:val="ListParagraph"/>
        <w:numPr>
          <w:ilvl w:val="1"/>
          <w:numId w:val="8"/>
        </w:numPr>
        <w:snapToGrid w:val="0"/>
        <w:spacing w:after="80"/>
        <w:contextualSpacing w:val="0"/>
      </w:pPr>
      <w:r w:rsidRPr="00342B16">
        <w:t>Summary</w:t>
      </w:r>
      <w:r w:rsidR="00C1611E" w:rsidRPr="00342B16">
        <w:t xml:space="preserve"> of distinct c</w:t>
      </w:r>
      <w:r w:rsidR="004C28F6" w:rsidRPr="00342B16">
        <w:t xml:space="preserve">ourses taught </w:t>
      </w:r>
      <w:r w:rsidRPr="00342B16">
        <w:t>and</w:t>
      </w:r>
      <w:r w:rsidR="004C28F6" w:rsidRPr="00342B16">
        <w:t xml:space="preserve"> </w:t>
      </w:r>
      <w:r w:rsidR="0010527B" w:rsidRPr="00342B16">
        <w:t xml:space="preserve">an </w:t>
      </w:r>
      <w:r w:rsidR="00C1611E" w:rsidRPr="00342B16">
        <w:t xml:space="preserve">average of </w:t>
      </w:r>
      <w:r w:rsidR="0010527B" w:rsidRPr="00342B16">
        <w:t>t</w:t>
      </w:r>
      <w:r w:rsidR="004C28F6" w:rsidRPr="00342B16">
        <w:t xml:space="preserve">eaching </w:t>
      </w:r>
      <w:r w:rsidR="0010527B" w:rsidRPr="00342B16">
        <w:t>e</w:t>
      </w:r>
      <w:r w:rsidR="004C28F6" w:rsidRPr="00342B16">
        <w:t>valuation</w:t>
      </w:r>
      <w:r w:rsidR="00C1611E" w:rsidRPr="00342B16">
        <w:t xml:space="preserve"> scores</w:t>
      </w:r>
      <w:r w:rsidR="0010527B" w:rsidRPr="00342B16">
        <w:t xml:space="preserve"> (on </w:t>
      </w:r>
      <w:r w:rsidR="00E13B13" w:rsidRPr="00342B16">
        <w:t>Q1 and Q2)</w:t>
      </w:r>
      <w:r w:rsidR="0010527B" w:rsidRPr="00342B16">
        <w:t xml:space="preserve"> over all courses</w:t>
      </w:r>
    </w:p>
    <w:p w14:paraId="0CC3ECF9" w14:textId="24BA39BA" w:rsidR="00E13B13" w:rsidRPr="00342B16" w:rsidRDefault="00E13B13" w:rsidP="00671271">
      <w:pPr>
        <w:pStyle w:val="ListParagraph"/>
        <w:numPr>
          <w:ilvl w:val="1"/>
          <w:numId w:val="8"/>
        </w:numPr>
        <w:snapToGrid w:val="0"/>
        <w:spacing w:after="80"/>
        <w:contextualSpacing w:val="0"/>
      </w:pPr>
      <w:r w:rsidRPr="00342B16">
        <w:t>A single statement of major teaching innovations</w:t>
      </w:r>
      <w:r w:rsidR="00C339FB" w:rsidRPr="00342B16">
        <w:t xml:space="preserve"> and approach</w:t>
      </w:r>
      <w:r w:rsidRPr="00342B16">
        <w:t xml:space="preserve"> that support student learning and success</w:t>
      </w:r>
    </w:p>
    <w:p w14:paraId="53DAABDE" w14:textId="702D28A5" w:rsidR="00E13B13" w:rsidRPr="00342B16" w:rsidRDefault="003B493B" w:rsidP="00D47EFB">
      <w:pPr>
        <w:pStyle w:val="ListParagraph"/>
        <w:numPr>
          <w:ilvl w:val="0"/>
          <w:numId w:val="8"/>
        </w:numPr>
        <w:snapToGrid w:val="0"/>
        <w:spacing w:after="80"/>
        <w:contextualSpacing w:val="0"/>
      </w:pPr>
      <w:r w:rsidRPr="00342B16">
        <w:t>Major awards (i.e.</w:t>
      </w:r>
      <w:r w:rsidR="0010527B" w:rsidRPr="00342B16">
        <w:t>,</w:t>
      </w:r>
      <w:r w:rsidRPr="00342B16">
        <w:t xml:space="preserve"> </w:t>
      </w:r>
      <w:r w:rsidR="0010527B" w:rsidRPr="00342B16">
        <w:t>SOE junior teaching award,</w:t>
      </w:r>
      <w:r w:rsidRPr="00342B16">
        <w:t xml:space="preserve"> </w:t>
      </w:r>
      <w:r w:rsidR="0010527B" w:rsidRPr="00342B16">
        <w:t>IEEE Fellow, or CAREER award</w:t>
      </w:r>
      <w:r w:rsidRPr="00342B16">
        <w:t>)</w:t>
      </w:r>
      <w:r w:rsidR="0010527B" w:rsidRPr="00342B16">
        <w:t xml:space="preserve">. Other funding awards are not intended </w:t>
      </w:r>
      <w:r w:rsidR="00312B9B" w:rsidRPr="00342B16">
        <w:t xml:space="preserve">to be listed </w:t>
      </w:r>
      <w:r w:rsidR="0010527B" w:rsidRPr="00342B16">
        <w:t>here</w:t>
      </w:r>
    </w:p>
    <w:p w14:paraId="75361E82" w14:textId="2C8CC79E" w:rsidR="00671271" w:rsidRPr="00342B16" w:rsidRDefault="00671271" w:rsidP="00D47EFB">
      <w:pPr>
        <w:pStyle w:val="ListParagraph"/>
        <w:numPr>
          <w:ilvl w:val="0"/>
          <w:numId w:val="8"/>
        </w:numPr>
        <w:snapToGrid w:val="0"/>
        <w:spacing w:after="80"/>
        <w:contextualSpacing w:val="0"/>
      </w:pPr>
      <w:r w:rsidRPr="00342B16">
        <w:t xml:space="preserve">Particularly impactful service or outreach activities at the community, scientific community, department, School, or university level </w:t>
      </w:r>
    </w:p>
    <w:p w14:paraId="73BDB014" w14:textId="349E805A" w:rsidR="0010527B" w:rsidRPr="00342B16" w:rsidRDefault="00312B9B" w:rsidP="00E13B13">
      <w:pPr>
        <w:snapToGrid w:val="0"/>
        <w:spacing w:after="100"/>
      </w:pPr>
      <w:r w:rsidRPr="00342B16">
        <w:t>Th</w:t>
      </w:r>
      <w:r w:rsidR="00C339FB" w:rsidRPr="00342B16">
        <w:t xml:space="preserve">e above is </w:t>
      </w:r>
      <w:r w:rsidRPr="00342B16">
        <w:t xml:space="preserve">intended to be </w:t>
      </w:r>
      <w:r w:rsidR="0010527B" w:rsidRPr="00342B16">
        <w:t xml:space="preserve">guidance rather than an exact format. Candidates </w:t>
      </w:r>
      <w:r w:rsidR="00C339FB" w:rsidRPr="00342B16">
        <w:t xml:space="preserve">should use their judgement to </w:t>
      </w:r>
      <w:r w:rsidR="0010527B" w:rsidRPr="00342B16">
        <w:t xml:space="preserve">best highlight their strengths using quantitative and qualitative summary statements. </w:t>
      </w:r>
    </w:p>
    <w:p w14:paraId="5FF11AC2" w14:textId="77777777" w:rsidR="00433333" w:rsidRPr="00342B16" w:rsidRDefault="00433333" w:rsidP="00D47EFB"/>
    <w:p w14:paraId="3E6C857D" w14:textId="77777777" w:rsidR="00302BAA" w:rsidRPr="00342B16" w:rsidRDefault="00302BAA" w:rsidP="006747FA">
      <w:pPr>
        <w:rPr>
          <w:b/>
        </w:rPr>
      </w:pPr>
    </w:p>
    <w:p w14:paraId="16D303D7" w14:textId="0075B34F" w:rsidR="003B493B" w:rsidRPr="00342B16" w:rsidRDefault="004C28F6" w:rsidP="006747FA">
      <w:pPr>
        <w:rPr>
          <w:b/>
        </w:rPr>
      </w:pPr>
      <w:r w:rsidRPr="00342B16">
        <w:rPr>
          <w:b/>
        </w:rPr>
        <w:t xml:space="preserve">Q: </w:t>
      </w:r>
      <w:r w:rsidR="003B493B" w:rsidRPr="00342B16">
        <w:rPr>
          <w:b/>
        </w:rPr>
        <w:t xml:space="preserve">How should I summarize my teaching evaluation scores? </w:t>
      </w:r>
    </w:p>
    <w:p w14:paraId="4F55EB79" w14:textId="77777777" w:rsidR="006747FA" w:rsidRPr="00342B16" w:rsidRDefault="006747FA" w:rsidP="006747FA">
      <w:pPr>
        <w:rPr>
          <w:b/>
        </w:rPr>
      </w:pPr>
    </w:p>
    <w:p w14:paraId="2963E7BB" w14:textId="1A01AE6C" w:rsidR="00FC6E04" w:rsidRPr="00342B16" w:rsidRDefault="00C1611E" w:rsidP="006747FA">
      <w:r w:rsidRPr="00342B16">
        <w:rPr>
          <w:b/>
        </w:rPr>
        <w:t>A:</w:t>
      </w:r>
      <w:r w:rsidRPr="00342B16">
        <w:t xml:space="preserve"> </w:t>
      </w:r>
      <w:r w:rsidR="003B493B" w:rsidRPr="00342B16">
        <w:t xml:space="preserve">The </w:t>
      </w:r>
      <w:r w:rsidR="008968B8" w:rsidRPr="00342B16">
        <w:t>Academic Affairs P</w:t>
      </w:r>
      <w:r w:rsidR="00E13B13" w:rsidRPr="00342B16">
        <w:t>&amp;</w:t>
      </w:r>
      <w:r w:rsidR="008968B8" w:rsidRPr="00342B16">
        <w:t>T</w:t>
      </w:r>
      <w:r w:rsidRPr="00342B16">
        <w:t xml:space="preserve"> </w:t>
      </w:r>
      <w:r w:rsidR="008968B8" w:rsidRPr="00342B16">
        <w:t>Guidelines document</w:t>
      </w:r>
      <w:r w:rsidRPr="00342B16">
        <w:t xml:space="preserve"> </w:t>
      </w:r>
      <w:r w:rsidR="003B493B" w:rsidRPr="00342B16">
        <w:t>has</w:t>
      </w:r>
      <w:r w:rsidRPr="00342B16">
        <w:t xml:space="preserve"> a table to upload teaching evaluation</w:t>
      </w:r>
      <w:r w:rsidR="001F3023" w:rsidRPr="00342B16">
        <w:t xml:space="preserve"> scores</w:t>
      </w:r>
      <w:r w:rsidRPr="00342B16">
        <w:t xml:space="preserve"> for each course you have taugh</w:t>
      </w:r>
      <w:r w:rsidR="00A25420" w:rsidRPr="00342B16">
        <w:t>t.</w:t>
      </w:r>
      <w:r w:rsidR="00021686" w:rsidRPr="00342B16">
        <w:t xml:space="preserve"> </w:t>
      </w:r>
      <w:r w:rsidR="00A25420" w:rsidRPr="00342B16">
        <w:t xml:space="preserve">The </w:t>
      </w:r>
      <w:r w:rsidR="008968B8" w:rsidRPr="00342B16">
        <w:t xml:space="preserve">Academic </w:t>
      </w:r>
      <w:r w:rsidR="00E13B13" w:rsidRPr="00342B16">
        <w:t>Affairs</w:t>
      </w:r>
      <w:r w:rsidR="00A25420" w:rsidRPr="00342B16">
        <w:t xml:space="preserve"> </w:t>
      </w:r>
      <w:r w:rsidR="008968B8" w:rsidRPr="00342B16">
        <w:t>Guidelines</w:t>
      </w:r>
      <w:r w:rsidR="00A25420" w:rsidRPr="00342B16">
        <w:t xml:space="preserve"> asks you to upload summaries for the last 6 years for tenure cases</w:t>
      </w:r>
      <w:r w:rsidR="00E13B13" w:rsidRPr="00342B16">
        <w:t xml:space="preserve">. SOE level review will place emphasis on teaching scores </w:t>
      </w:r>
      <w:r w:rsidR="00433333" w:rsidRPr="00342B16">
        <w:t xml:space="preserve">from courses taught since </w:t>
      </w:r>
      <w:r w:rsidR="00C339FB" w:rsidRPr="00342B16">
        <w:t xml:space="preserve">the </w:t>
      </w:r>
      <w:r w:rsidR="00E13B13" w:rsidRPr="00342B16">
        <w:t xml:space="preserve">last milestone review (e.g., 3 years </w:t>
      </w:r>
      <w:r w:rsidR="00A25420" w:rsidRPr="00342B16">
        <w:t>since mid-pro</w:t>
      </w:r>
      <w:r w:rsidR="00E13B13" w:rsidRPr="00342B16">
        <w:t>bationary</w:t>
      </w:r>
      <w:r w:rsidR="00A25420" w:rsidRPr="00342B16">
        <w:t xml:space="preserve"> review</w:t>
      </w:r>
      <w:r w:rsidR="0036307D" w:rsidRPr="00342B16">
        <w:t xml:space="preserve"> for typical tenure cases</w:t>
      </w:r>
      <w:r w:rsidR="00E13B13" w:rsidRPr="00342B16">
        <w:t xml:space="preserve">, or 5 years since P&amp;T review for typical promotion to full professor cases). </w:t>
      </w:r>
    </w:p>
    <w:p w14:paraId="1A8F6A34" w14:textId="77777777" w:rsidR="00FC6E04" w:rsidRPr="00342B16" w:rsidRDefault="00FC6E04" w:rsidP="006747FA"/>
    <w:p w14:paraId="3CAA3802" w14:textId="1EAD2B62" w:rsidR="00E13B13" w:rsidRPr="00342B16" w:rsidRDefault="00BD2880" w:rsidP="000032A8">
      <w:r w:rsidRPr="00342B16">
        <w:t xml:space="preserve">Please use the </w:t>
      </w:r>
      <w:r w:rsidR="000032A8" w:rsidRPr="00342B16">
        <w:t>Teaching Summary Table</w:t>
      </w:r>
      <w:r w:rsidR="00E13B13" w:rsidRPr="00342B16">
        <w:t xml:space="preserve"> (Appendix C) of Academic Affairs P&amp;T Guidelines to report teaching evaluation scores.  </w:t>
      </w:r>
      <w:r w:rsidR="000032A8" w:rsidRPr="00342B16">
        <w:t xml:space="preserve">Note that only 2 questions are required from </w:t>
      </w:r>
      <w:proofErr w:type="spellStart"/>
      <w:r w:rsidR="000032A8" w:rsidRPr="00342B16">
        <w:t>EvaluationKit</w:t>
      </w:r>
      <w:proofErr w:type="spellEnd"/>
      <w:r w:rsidR="000032A8" w:rsidRPr="00342B16">
        <w:t xml:space="preserve">: </w:t>
      </w:r>
      <w:r w:rsidR="000032A8" w:rsidRPr="00342B16">
        <w:lastRenderedPageBreak/>
        <w:t xml:space="preserve">Q1 = Rate the Instructor’s Overall effectiveness and Q2 = How comfortable do you feel approaching the instructor with questions? Q6 is not asked </w:t>
      </w:r>
      <w:r w:rsidR="00377C70" w:rsidRPr="00342B16">
        <w:t>n</w:t>
      </w:r>
      <w:r w:rsidR="000032A8" w:rsidRPr="00342B16">
        <w:t xml:space="preserve">or required in the SOE. Enter N/A on the </w:t>
      </w:r>
      <w:r w:rsidR="00312B9B" w:rsidRPr="00342B16">
        <w:t xml:space="preserve">Academic Affairs </w:t>
      </w:r>
      <w:r w:rsidR="000032A8" w:rsidRPr="00342B16">
        <w:t>form.</w:t>
      </w:r>
    </w:p>
    <w:p w14:paraId="2119EC73" w14:textId="20ED711C" w:rsidR="00C1611E" w:rsidRPr="00342B16" w:rsidRDefault="00C1611E" w:rsidP="00D47EFB"/>
    <w:p w14:paraId="7EEB46B9" w14:textId="77777777" w:rsidR="00302BAA" w:rsidRPr="00342B16" w:rsidRDefault="00302BAA" w:rsidP="006747FA">
      <w:pPr>
        <w:rPr>
          <w:b/>
        </w:rPr>
      </w:pPr>
    </w:p>
    <w:p w14:paraId="3695BBD4" w14:textId="6449D132" w:rsidR="00A25420" w:rsidRPr="00342B16" w:rsidRDefault="006B1FF6" w:rsidP="006747FA">
      <w:pPr>
        <w:rPr>
          <w:b/>
        </w:rPr>
      </w:pPr>
      <w:r w:rsidRPr="00342B16">
        <w:rPr>
          <w:b/>
        </w:rPr>
        <w:t xml:space="preserve">Q: </w:t>
      </w:r>
      <w:r w:rsidR="00A25420" w:rsidRPr="00342B16">
        <w:rPr>
          <w:b/>
        </w:rPr>
        <w:t xml:space="preserve">Do I upload all student comments on teaching evaluations? </w:t>
      </w:r>
    </w:p>
    <w:p w14:paraId="1F4C5722" w14:textId="77777777" w:rsidR="006747FA" w:rsidRPr="00342B16" w:rsidRDefault="006747FA" w:rsidP="006747FA">
      <w:pPr>
        <w:rPr>
          <w:b/>
        </w:rPr>
      </w:pPr>
    </w:p>
    <w:p w14:paraId="434E585D" w14:textId="746602D3" w:rsidR="00433333" w:rsidRPr="00342B16" w:rsidRDefault="008968B8" w:rsidP="006747FA">
      <w:r w:rsidRPr="00342B16">
        <w:rPr>
          <w:b/>
        </w:rPr>
        <w:t>A:</w:t>
      </w:r>
      <w:r w:rsidRPr="00342B16">
        <w:t xml:space="preserve"> </w:t>
      </w:r>
      <w:r w:rsidR="00A25420" w:rsidRPr="00342B16">
        <w:t xml:space="preserve">Yes. </w:t>
      </w:r>
      <w:r w:rsidR="00021686" w:rsidRPr="00342B16">
        <w:t xml:space="preserve">The </w:t>
      </w:r>
      <w:r w:rsidRPr="00342B16">
        <w:t>Academic Affairs</w:t>
      </w:r>
      <w:r w:rsidR="00021686" w:rsidRPr="00342B16">
        <w:t xml:space="preserve"> </w:t>
      </w:r>
      <w:r w:rsidR="00433333" w:rsidRPr="00342B16">
        <w:t xml:space="preserve">P&amp;T </w:t>
      </w:r>
      <w:r w:rsidRPr="00342B16">
        <w:t>Guidelines</w:t>
      </w:r>
      <w:r w:rsidR="00021686" w:rsidRPr="00342B16">
        <w:t xml:space="preserve"> </w:t>
      </w:r>
      <w:r w:rsidR="001F3023" w:rsidRPr="00342B16">
        <w:t>ask that all student comments</w:t>
      </w:r>
      <w:r w:rsidR="00433333" w:rsidRPr="00342B16">
        <w:t xml:space="preserve"> from all classes</w:t>
      </w:r>
      <w:r w:rsidR="001F3023" w:rsidRPr="00342B16">
        <w:t xml:space="preserve"> be uploaded from the most recent 6 years</w:t>
      </w:r>
      <w:r w:rsidR="00252D8A" w:rsidRPr="00342B16">
        <w:t xml:space="preserve"> for tenure cases</w:t>
      </w:r>
      <w:r w:rsidR="001F3023" w:rsidRPr="00342B16">
        <w:t xml:space="preserve">. </w:t>
      </w:r>
      <w:r w:rsidR="00433333" w:rsidRPr="00342B16">
        <w:t xml:space="preserve">Combine student comments into one PDF for each course. </w:t>
      </w:r>
      <w:r w:rsidR="00A25420" w:rsidRPr="00342B16">
        <w:t xml:space="preserve">The SOE </w:t>
      </w:r>
      <w:r w:rsidR="00021686" w:rsidRPr="00342B16">
        <w:t xml:space="preserve">will focus evaluation on </w:t>
      </w:r>
      <w:r w:rsidR="00A25420" w:rsidRPr="00342B16">
        <w:t xml:space="preserve">student comments </w:t>
      </w:r>
      <w:r w:rsidR="00433333" w:rsidRPr="00342B16">
        <w:t>from course</w:t>
      </w:r>
      <w:r w:rsidR="00377C70" w:rsidRPr="00342B16">
        <w:t>s</w:t>
      </w:r>
      <w:r w:rsidR="00433333" w:rsidRPr="00342B16">
        <w:t xml:space="preserve"> taught since the last milestone review (e.g., since mid-probationary review for typical tenure cases, or since P&amp;T review for typical promotion to full professor cases). </w:t>
      </w:r>
    </w:p>
    <w:p w14:paraId="7FA4CCB0" w14:textId="5F8715A9" w:rsidR="00A25420" w:rsidRPr="00342B16" w:rsidRDefault="00A25420" w:rsidP="006747FA"/>
    <w:p w14:paraId="5C56CB76" w14:textId="74EE4FBA" w:rsidR="00FC6E04" w:rsidRPr="00342B16" w:rsidRDefault="00D5661D" w:rsidP="006747FA">
      <w:r w:rsidRPr="00342B16">
        <w:t xml:space="preserve">The School of Engineering recognizes that student evaluations can perpetuate bias. If racist, sexist, or other discriminatory language or personal attacks appear in student comments, you may work with your Department Chair to redact those comments. Redactions are anticipated to be rare and should not be used to remove comments simply because they are negative (i.e. “This professor is terrible because they always return homework late” is not a comment that can be redacted even if the professor disagrees with it.) Redacted comments should be replaced with </w:t>
      </w:r>
      <w:r w:rsidRPr="00342B16">
        <w:rPr>
          <w:b/>
          <w:bCs/>
        </w:rPr>
        <w:t xml:space="preserve">&lt;comment redacted&gt;. </w:t>
      </w:r>
      <w:r w:rsidRPr="00342B16">
        <w:t xml:space="preserve">The comment should be reported </w:t>
      </w:r>
      <w:r w:rsidR="00FD34DF" w:rsidRPr="00342B16">
        <w:t xml:space="preserve">by the Department Chair </w:t>
      </w:r>
      <w:r w:rsidRPr="00342B16">
        <w:t xml:space="preserve">to the SOE administration via the </w:t>
      </w:r>
      <w:r w:rsidR="00433333" w:rsidRPr="00342B16">
        <w:t>Associate Dean for Faculty Affairs</w:t>
      </w:r>
      <w:r w:rsidRPr="00342B16">
        <w:t xml:space="preserve"> </w:t>
      </w:r>
      <w:proofErr w:type="gramStart"/>
      <w:r w:rsidRPr="00342B16">
        <w:t>in order to</w:t>
      </w:r>
      <w:proofErr w:type="gramEnd"/>
      <w:r w:rsidRPr="00342B16">
        <w:t xml:space="preserve"> keep a record of such comments and ensure that standards for redactions are fair across departments.</w:t>
      </w:r>
    </w:p>
    <w:p w14:paraId="39F9EE33" w14:textId="77777777" w:rsidR="00D47EFB" w:rsidRPr="00342B16" w:rsidRDefault="00D47EFB" w:rsidP="006747FA"/>
    <w:p w14:paraId="1791FB39" w14:textId="77777777" w:rsidR="00302BAA" w:rsidRPr="00342B16" w:rsidRDefault="00302BAA" w:rsidP="006747FA">
      <w:pPr>
        <w:rPr>
          <w:b/>
        </w:rPr>
      </w:pPr>
    </w:p>
    <w:p w14:paraId="26345457" w14:textId="23052610" w:rsidR="006B1FF6" w:rsidRPr="00342B16" w:rsidRDefault="006B1FF6" w:rsidP="006747FA">
      <w:pPr>
        <w:rPr>
          <w:b/>
        </w:rPr>
      </w:pPr>
      <w:r w:rsidRPr="00342B16">
        <w:rPr>
          <w:b/>
        </w:rPr>
        <w:t>Q: How many peer teaching evaluations do I need?</w:t>
      </w:r>
    </w:p>
    <w:p w14:paraId="6FFBA1A3" w14:textId="77777777" w:rsidR="006747FA" w:rsidRPr="00342B16" w:rsidRDefault="006747FA" w:rsidP="006747FA">
      <w:pPr>
        <w:rPr>
          <w:b/>
        </w:rPr>
      </w:pPr>
    </w:p>
    <w:p w14:paraId="42620141" w14:textId="4F2AE27D" w:rsidR="006B1FF6" w:rsidRPr="00342B16" w:rsidRDefault="006B1FF6" w:rsidP="006747FA">
      <w:r w:rsidRPr="00342B16">
        <w:rPr>
          <w:b/>
        </w:rPr>
        <w:t>A:</w:t>
      </w:r>
      <w:r w:rsidRPr="00342B16">
        <w:t xml:space="preserve"> </w:t>
      </w:r>
      <w:r w:rsidR="00FD34DF" w:rsidRPr="00342B16">
        <w:t xml:space="preserve">One per year, arranged by your department Chair. </w:t>
      </w:r>
      <w:r w:rsidRPr="00342B16">
        <w:t xml:space="preserve">These are evaluations </w:t>
      </w:r>
      <w:r w:rsidR="003D0C35" w:rsidRPr="00342B16">
        <w:t>by</w:t>
      </w:r>
      <w:r w:rsidRPr="00342B16">
        <w:t xml:space="preserve"> peer faculty members</w:t>
      </w:r>
      <w:r w:rsidR="00312B9B" w:rsidRPr="00342B16">
        <w:t>,</w:t>
      </w:r>
      <w:r w:rsidR="007914DD" w:rsidRPr="00342B16">
        <w:t xml:space="preserve"> </w:t>
      </w:r>
      <w:r w:rsidRPr="00342B16">
        <w:t xml:space="preserve">typically by more senior faculty </w:t>
      </w:r>
      <w:r w:rsidR="00FD34DF" w:rsidRPr="00342B16">
        <w:t xml:space="preserve">members </w:t>
      </w:r>
      <w:r w:rsidRPr="00342B16">
        <w:t>in your department</w:t>
      </w:r>
      <w:r w:rsidR="003D0C35" w:rsidRPr="00342B16">
        <w:t xml:space="preserve">, after meeting with </w:t>
      </w:r>
      <w:r w:rsidR="00377C70" w:rsidRPr="00342B16">
        <w:t xml:space="preserve">you </w:t>
      </w:r>
      <w:r w:rsidR="003D0C35" w:rsidRPr="00342B16">
        <w:t xml:space="preserve">and observing </w:t>
      </w:r>
      <w:r w:rsidR="00377C70" w:rsidRPr="00342B16">
        <w:t>your</w:t>
      </w:r>
      <w:r w:rsidR="003D0C35" w:rsidRPr="00342B16">
        <w:t xml:space="preserve"> teaching in the classroom or lab. </w:t>
      </w:r>
      <w:r w:rsidR="00252D8A" w:rsidRPr="00342B16">
        <w:t xml:space="preserve">Peer evaluators should use the SOE peer teaching evaluation </w:t>
      </w:r>
      <w:r w:rsidR="00FC1012" w:rsidRPr="00342B16">
        <w:t>guide</w:t>
      </w:r>
      <w:r w:rsidR="008968B8" w:rsidRPr="00342B16">
        <w:t xml:space="preserve"> (found in the “attachments” document here: </w:t>
      </w:r>
      <w:hyperlink r:id="rId10" w:history="1">
        <w:r w:rsidR="008968B8" w:rsidRPr="00342B16">
          <w:rPr>
            <w:rStyle w:val="Hyperlink"/>
          </w:rPr>
          <w:t>https://engineering.unm.edu/faculty/resources-for-faculty.html</w:t>
        </w:r>
      </w:hyperlink>
      <w:r w:rsidR="008968B8" w:rsidRPr="00342B16">
        <w:t>)</w:t>
      </w:r>
      <w:r w:rsidR="00252D8A" w:rsidRPr="00342B16">
        <w:t xml:space="preserve">. </w:t>
      </w:r>
      <w:r w:rsidRPr="00342B16">
        <w:t xml:space="preserve">The </w:t>
      </w:r>
      <w:r w:rsidR="008968B8" w:rsidRPr="00342B16">
        <w:t>Academic Affairs P</w:t>
      </w:r>
      <w:r w:rsidR="00FD34DF" w:rsidRPr="00342B16">
        <w:t>&amp;</w:t>
      </w:r>
      <w:r w:rsidR="008968B8" w:rsidRPr="00342B16">
        <w:t>T</w:t>
      </w:r>
      <w:r w:rsidRPr="00342B16">
        <w:t xml:space="preserve"> Guidelines </w:t>
      </w:r>
      <w:r w:rsidR="0036307D" w:rsidRPr="00342B16">
        <w:t>ask for</w:t>
      </w:r>
      <w:r w:rsidRPr="00342B16">
        <w:t xml:space="preserve"> one peer teaching evaluation for each academic year. </w:t>
      </w:r>
      <w:r w:rsidR="00FD34DF" w:rsidRPr="00342B16">
        <w:t>Prior to 2022, t</w:t>
      </w:r>
      <w:r w:rsidRPr="00342B16">
        <w:t>he SOE required</w:t>
      </w:r>
      <w:r w:rsidR="0036307D" w:rsidRPr="00342B16">
        <w:t xml:space="preserve"> only</w:t>
      </w:r>
      <w:r w:rsidRPr="00342B16">
        <w:t xml:space="preserve"> </w:t>
      </w:r>
      <w:r w:rsidR="00DC6C79" w:rsidRPr="00342B16">
        <w:t>1</w:t>
      </w:r>
      <w:r w:rsidR="00C81655" w:rsidRPr="00342B16">
        <w:t xml:space="preserve"> peer evaluation</w:t>
      </w:r>
      <w:r w:rsidR="00FD34DF" w:rsidRPr="00342B16">
        <w:t xml:space="preserve"> for candidate dossier</w:t>
      </w:r>
      <w:r w:rsidR="000F6127" w:rsidRPr="00342B16">
        <w:t>s</w:t>
      </w:r>
      <w:r w:rsidR="00C81655" w:rsidRPr="00342B16">
        <w:t xml:space="preserve">. </w:t>
      </w:r>
      <w:r w:rsidR="00BA037D" w:rsidRPr="00342B16">
        <w:t>B</w:t>
      </w:r>
      <w:r w:rsidR="0036307D" w:rsidRPr="00342B16">
        <w:t>eginning in 202</w:t>
      </w:r>
      <w:r w:rsidR="00FD34DF" w:rsidRPr="00342B16">
        <w:t>2</w:t>
      </w:r>
      <w:r w:rsidR="00E81DA7" w:rsidRPr="00342B16">
        <w:t>, one peer evaluation per</w:t>
      </w:r>
      <w:r w:rsidR="007914DD" w:rsidRPr="00342B16">
        <w:t xml:space="preserve"> </w:t>
      </w:r>
      <w:r w:rsidR="00BA037D" w:rsidRPr="00342B16">
        <w:t>academic year</w:t>
      </w:r>
      <w:r w:rsidR="00E81DA7" w:rsidRPr="00342B16">
        <w:t xml:space="preserve"> </w:t>
      </w:r>
      <w:r w:rsidR="00FD34DF" w:rsidRPr="00342B16">
        <w:t>is</w:t>
      </w:r>
      <w:r w:rsidR="00E81DA7" w:rsidRPr="00342B16">
        <w:t xml:space="preserve"> be expected </w:t>
      </w:r>
      <w:r w:rsidR="0036307D" w:rsidRPr="00342B16">
        <w:t>for SOE candidates</w:t>
      </w:r>
      <w:r w:rsidR="00FD34DF" w:rsidRPr="00342B16">
        <w:t xml:space="preserve">, in line with the Academic Affairs guidelines. </w:t>
      </w:r>
      <w:r w:rsidR="0036307D" w:rsidRPr="00342B16">
        <w:t xml:space="preserve"> </w:t>
      </w:r>
    </w:p>
    <w:p w14:paraId="036218CD" w14:textId="77777777" w:rsidR="00FD34DF" w:rsidRPr="00342B16" w:rsidRDefault="00FD34DF" w:rsidP="006747FA"/>
    <w:p w14:paraId="6B9577FF" w14:textId="1A0E38D0" w:rsidR="00F90500" w:rsidRPr="00342B16" w:rsidRDefault="003D0C35" w:rsidP="006747FA">
      <w:r w:rsidRPr="00342B16">
        <w:t xml:space="preserve">The peer teaching observation and evaluation process is intended to be </w:t>
      </w:r>
      <w:r w:rsidR="00FC1012" w:rsidRPr="00342B16">
        <w:t>helpful</w:t>
      </w:r>
      <w:r w:rsidRPr="00342B16">
        <w:t xml:space="preserve"> to the faculty candidate by providing feedback to the faculty member. We highly encourage faculty members to take advantage of the excellent midsemester student-feedback (https://ctl.unm.edu/instructors/teaching-feedback/mid-course-student-feedback.html) and teaching observations (</w:t>
      </w:r>
      <w:hyperlink r:id="rId11" w:history="1">
        <w:r w:rsidRPr="00342B16">
          <w:rPr>
            <w:rStyle w:val="Hyperlink"/>
          </w:rPr>
          <w:t>https://ctl.unm.edu/instructors/teaching-feedback/teaching-observations.html</w:t>
        </w:r>
      </w:hyperlink>
      <w:r w:rsidRPr="00342B16">
        <w:t xml:space="preserve">) services provided by the Center for Teaching and Learning </w:t>
      </w:r>
      <w:r w:rsidR="00F90500" w:rsidRPr="00342B16">
        <w:t xml:space="preserve">(CTL) </w:t>
      </w:r>
      <w:r w:rsidRPr="00342B16">
        <w:t>(</w:t>
      </w:r>
      <w:hyperlink r:id="rId12" w:history="1">
        <w:r w:rsidRPr="00342B16">
          <w:rPr>
            <w:rStyle w:val="Hyperlink"/>
          </w:rPr>
          <w:t>https://ctl.unm.edu/</w:t>
        </w:r>
      </w:hyperlink>
      <w:r w:rsidRPr="00342B16">
        <w:t xml:space="preserve">). </w:t>
      </w:r>
    </w:p>
    <w:p w14:paraId="2BDF88F5" w14:textId="77777777" w:rsidR="00F90500" w:rsidRPr="00342B16" w:rsidRDefault="00F90500" w:rsidP="006747FA"/>
    <w:p w14:paraId="4CC556E3" w14:textId="21FCF682" w:rsidR="003D0C35" w:rsidRPr="00342B16" w:rsidRDefault="003D0C35" w:rsidP="006747FA">
      <w:r w:rsidRPr="00342B16">
        <w:lastRenderedPageBreak/>
        <w:t>Services provided by CTL can be used in lieu of peer teaching observations</w:t>
      </w:r>
      <w:r w:rsidR="00F90500" w:rsidRPr="00342B16">
        <w:t xml:space="preserve"> so that a mix of peer teaching evaluations and documentation of CTL’s services can be used in P&amp;T dossiers. Please discuss with your Chair</w:t>
      </w:r>
      <w:r w:rsidR="000F6127" w:rsidRPr="00342B16">
        <w:t xml:space="preserve"> about </w:t>
      </w:r>
      <w:r w:rsidR="00E137DC" w:rsidRPr="00342B16">
        <w:t xml:space="preserve">an </w:t>
      </w:r>
      <w:r w:rsidR="00F90500" w:rsidRPr="00342B16">
        <w:t>appropriate mix of evaluations for your P&amp;T case</w:t>
      </w:r>
      <w:r w:rsidR="00E137DC" w:rsidRPr="00342B16">
        <w:t xml:space="preserve"> might look like. </w:t>
      </w:r>
    </w:p>
    <w:p w14:paraId="6F3E1042" w14:textId="77777777" w:rsidR="006B1FF6" w:rsidRPr="00342B16" w:rsidRDefault="006B1FF6" w:rsidP="006747FA">
      <w:pPr>
        <w:ind w:left="360"/>
      </w:pPr>
    </w:p>
    <w:p w14:paraId="2684CEE5" w14:textId="77777777" w:rsidR="00302BAA" w:rsidRPr="00342B16" w:rsidRDefault="00302BAA" w:rsidP="006747FA">
      <w:pPr>
        <w:rPr>
          <w:b/>
        </w:rPr>
      </w:pPr>
    </w:p>
    <w:p w14:paraId="209F7902" w14:textId="565F7127" w:rsidR="006B1FF6" w:rsidRPr="00342B16" w:rsidRDefault="006B1FF6" w:rsidP="006747FA">
      <w:pPr>
        <w:rPr>
          <w:b/>
        </w:rPr>
      </w:pPr>
      <w:r w:rsidRPr="00342B16">
        <w:rPr>
          <w:b/>
        </w:rPr>
        <w:t>Q: The SOE policy says teaching evaluations should be confidential. What does this mean?</w:t>
      </w:r>
    </w:p>
    <w:p w14:paraId="569CC4B0" w14:textId="77777777" w:rsidR="006747FA" w:rsidRPr="00342B16" w:rsidRDefault="006747FA" w:rsidP="006747FA">
      <w:pPr>
        <w:rPr>
          <w:b/>
        </w:rPr>
      </w:pPr>
    </w:p>
    <w:p w14:paraId="20F20264" w14:textId="476A5169" w:rsidR="006B1FF6" w:rsidRPr="00342B16" w:rsidRDefault="006B1FF6" w:rsidP="006747FA">
      <w:r w:rsidRPr="00342B16">
        <w:rPr>
          <w:b/>
        </w:rPr>
        <w:t>A:</w:t>
      </w:r>
      <w:r w:rsidRPr="00342B16">
        <w:t xml:space="preserve"> The peer faculty evaluation </w:t>
      </w:r>
      <w:r w:rsidR="00E137DC" w:rsidRPr="00342B16">
        <w:t xml:space="preserve">does not need to be </w:t>
      </w:r>
      <w:r w:rsidRPr="00342B16">
        <w:t>confidential</w:t>
      </w:r>
      <w:r w:rsidR="00F90500" w:rsidRPr="00342B16">
        <w:t xml:space="preserve"> (see above)</w:t>
      </w:r>
      <w:r w:rsidRPr="00342B16">
        <w:t xml:space="preserve">; </w:t>
      </w:r>
      <w:r w:rsidR="00D8080C" w:rsidRPr="00342B16">
        <w:t xml:space="preserve">it should </w:t>
      </w:r>
      <w:r w:rsidRPr="00342B16">
        <w:t>be shared with the candidate</w:t>
      </w:r>
      <w:r w:rsidR="00D8080C" w:rsidRPr="00342B16">
        <w:t xml:space="preserve"> to provide feedback</w:t>
      </w:r>
      <w:r w:rsidRPr="00342B16">
        <w:t xml:space="preserve"> and is part of the internal UNM </w:t>
      </w:r>
      <w:r w:rsidR="0036307D" w:rsidRPr="00342B16">
        <w:t>P&amp;T</w:t>
      </w:r>
      <w:r w:rsidRPr="00342B16">
        <w:t xml:space="preserve"> packet. </w:t>
      </w:r>
    </w:p>
    <w:p w14:paraId="5F47D49C" w14:textId="77777777" w:rsidR="00F90500" w:rsidRPr="00342B16" w:rsidRDefault="00F90500" w:rsidP="006747FA">
      <w:pPr>
        <w:rPr>
          <w:b/>
          <w:color w:val="222222"/>
          <w:shd w:val="clear" w:color="auto" w:fill="FFFFFF"/>
        </w:rPr>
      </w:pPr>
    </w:p>
    <w:p w14:paraId="73E0B043" w14:textId="77777777" w:rsidR="00302BAA" w:rsidRPr="00342B16" w:rsidRDefault="00302BAA" w:rsidP="006747FA">
      <w:pPr>
        <w:rPr>
          <w:b/>
          <w:color w:val="222222"/>
          <w:shd w:val="clear" w:color="auto" w:fill="FFFFFF"/>
        </w:rPr>
      </w:pPr>
    </w:p>
    <w:p w14:paraId="6EA8B0B2" w14:textId="5001E5FB" w:rsidR="00585998" w:rsidRPr="00342B16" w:rsidRDefault="00585998" w:rsidP="006747FA">
      <w:pPr>
        <w:rPr>
          <w:b/>
          <w:color w:val="222222"/>
          <w:shd w:val="clear" w:color="auto" w:fill="FFFFFF"/>
        </w:rPr>
      </w:pPr>
      <w:r w:rsidRPr="00342B16">
        <w:rPr>
          <w:b/>
          <w:color w:val="222222"/>
          <w:shd w:val="clear" w:color="auto" w:fill="FFFFFF"/>
        </w:rPr>
        <w:t xml:space="preserve">Q: The </w:t>
      </w:r>
      <w:r w:rsidR="00415528" w:rsidRPr="00342B16">
        <w:rPr>
          <w:b/>
          <w:color w:val="222222"/>
          <w:shd w:val="clear" w:color="auto" w:fill="FFFFFF"/>
        </w:rPr>
        <w:t>Academic Affairs P&amp;T guidelines</w:t>
      </w:r>
      <w:r w:rsidRPr="00342B16">
        <w:rPr>
          <w:b/>
          <w:color w:val="222222"/>
          <w:shd w:val="clear" w:color="auto" w:fill="FFFFFF"/>
        </w:rPr>
        <w:t xml:space="preserve"> ask for examples of original teaching materials from each unique course taught (no need to include materials from the same course taught over several semesters). How long should this</w:t>
      </w:r>
      <w:r w:rsidR="003B6900" w:rsidRPr="00342B16">
        <w:rPr>
          <w:b/>
          <w:color w:val="222222"/>
          <w:shd w:val="clear" w:color="auto" w:fill="FFFFFF"/>
        </w:rPr>
        <w:t xml:space="preserve"> section</w:t>
      </w:r>
      <w:r w:rsidRPr="00342B16">
        <w:rPr>
          <w:b/>
          <w:color w:val="222222"/>
          <w:shd w:val="clear" w:color="auto" w:fill="FFFFFF"/>
        </w:rPr>
        <w:t xml:space="preserve"> be?</w:t>
      </w:r>
    </w:p>
    <w:p w14:paraId="4902AAEA" w14:textId="77777777" w:rsidR="006747FA" w:rsidRPr="00342B16" w:rsidRDefault="006747FA" w:rsidP="006747FA">
      <w:pPr>
        <w:rPr>
          <w:b/>
        </w:rPr>
      </w:pPr>
    </w:p>
    <w:p w14:paraId="6051C037" w14:textId="779837ED" w:rsidR="00F90500" w:rsidRPr="00342B16" w:rsidRDefault="00585998" w:rsidP="006747FA">
      <w:pPr>
        <w:rPr>
          <w:color w:val="222222"/>
          <w:shd w:val="clear" w:color="auto" w:fill="FFFFFF"/>
        </w:rPr>
      </w:pPr>
      <w:r w:rsidRPr="00342B16">
        <w:rPr>
          <w:b/>
          <w:color w:val="222222"/>
          <w:shd w:val="clear" w:color="auto" w:fill="FFFFFF"/>
        </w:rPr>
        <w:t>A:</w:t>
      </w:r>
      <w:r w:rsidRPr="00342B16">
        <w:rPr>
          <w:color w:val="222222"/>
          <w:shd w:val="clear" w:color="auto" w:fill="FFFFFF"/>
        </w:rPr>
        <w:t xml:space="preserve"> </w:t>
      </w:r>
      <w:r w:rsidR="003B6900" w:rsidRPr="00342B16">
        <w:rPr>
          <w:color w:val="222222"/>
          <w:shd w:val="clear" w:color="auto" w:fill="FFFFFF"/>
        </w:rPr>
        <w:t xml:space="preserve">This </w:t>
      </w:r>
      <w:r w:rsidR="0049164F" w:rsidRPr="00342B16">
        <w:rPr>
          <w:color w:val="222222"/>
          <w:shd w:val="clear" w:color="auto" w:fill="FFFFFF"/>
        </w:rPr>
        <w:t xml:space="preserve">section </w:t>
      </w:r>
      <w:r w:rsidR="003B6900" w:rsidRPr="00342B16">
        <w:rPr>
          <w:color w:val="222222"/>
          <w:shd w:val="clear" w:color="auto" w:fill="FFFFFF"/>
        </w:rPr>
        <w:t>should include a short example of</w:t>
      </w:r>
      <w:r w:rsidRPr="00342B16">
        <w:rPr>
          <w:color w:val="222222"/>
          <w:shd w:val="clear" w:color="auto" w:fill="FFFFFF"/>
        </w:rPr>
        <w:t xml:space="preserve"> materials</w:t>
      </w:r>
      <w:r w:rsidR="003B6900" w:rsidRPr="00342B16">
        <w:rPr>
          <w:color w:val="222222"/>
          <w:shd w:val="clear" w:color="auto" w:fill="FFFFFF"/>
        </w:rPr>
        <w:t xml:space="preserve"> from each course</w:t>
      </w:r>
      <w:r w:rsidRPr="00342B16">
        <w:rPr>
          <w:color w:val="222222"/>
          <w:shd w:val="clear" w:color="auto" w:fill="FFFFFF"/>
        </w:rPr>
        <w:t xml:space="preserve"> (a few pages per course, e.g. a syllabus, lecture notes, or exam)</w:t>
      </w:r>
      <w:r w:rsidR="0049164F" w:rsidRPr="00342B16">
        <w:rPr>
          <w:color w:val="222222"/>
          <w:shd w:val="clear" w:color="auto" w:fill="FFFFFF"/>
        </w:rPr>
        <w:t>. Think through what you want to include - t</w:t>
      </w:r>
      <w:r w:rsidR="00F90500" w:rsidRPr="00342B16">
        <w:rPr>
          <w:color w:val="222222"/>
          <w:shd w:val="clear" w:color="auto" w:fill="FFFFFF"/>
        </w:rPr>
        <w:t xml:space="preserve">he purpose of the materials is to provide evidence of excellence in teaching which includes how you support student learning and success. </w:t>
      </w:r>
      <w:r w:rsidR="003B6900" w:rsidRPr="00342B16">
        <w:rPr>
          <w:color w:val="222222"/>
          <w:shd w:val="clear" w:color="auto" w:fill="FFFFFF"/>
        </w:rPr>
        <w:t>You may include a list of the materials at the start of this section. Since the material is before your research statement in the RPT system, it is distracting to include lengthy materials. If desired, e</w:t>
      </w:r>
      <w:r w:rsidRPr="00342B16">
        <w:rPr>
          <w:color w:val="222222"/>
          <w:shd w:val="clear" w:color="auto" w:fill="FFFFFF"/>
        </w:rPr>
        <w:t>xtended materials can be included in supplemental materia</w:t>
      </w:r>
      <w:r w:rsidR="003B6900" w:rsidRPr="00342B16">
        <w:rPr>
          <w:color w:val="222222"/>
          <w:shd w:val="clear" w:color="auto" w:fill="FFFFFF"/>
        </w:rPr>
        <w:t>l</w:t>
      </w:r>
      <w:r w:rsidR="00FC6E04" w:rsidRPr="00342B16">
        <w:rPr>
          <w:color w:val="222222"/>
          <w:shd w:val="clear" w:color="auto" w:fill="FFFFFF"/>
        </w:rPr>
        <w:t>. S</w:t>
      </w:r>
      <w:r w:rsidR="00F31504" w:rsidRPr="00342B16">
        <w:rPr>
          <w:color w:val="222222"/>
          <w:shd w:val="clear" w:color="auto" w:fill="FFFFFF"/>
        </w:rPr>
        <w:t xml:space="preserve">ee FAQ </w:t>
      </w:r>
      <w:r w:rsidR="00D5661D" w:rsidRPr="00342B16">
        <w:rPr>
          <w:color w:val="222222"/>
          <w:shd w:val="clear" w:color="auto" w:fill="FFFFFF"/>
        </w:rPr>
        <w:t>below for more guidance on</w:t>
      </w:r>
      <w:r w:rsidR="00FC6E04" w:rsidRPr="00342B16">
        <w:rPr>
          <w:color w:val="222222"/>
          <w:shd w:val="clear" w:color="auto" w:fill="FFFFFF"/>
        </w:rPr>
        <w:t xml:space="preserve"> what should (and should not) be included in supplemental material</w:t>
      </w:r>
      <w:r w:rsidR="00F31504" w:rsidRPr="00342B16">
        <w:rPr>
          <w:color w:val="222222"/>
          <w:shd w:val="clear" w:color="auto" w:fill="FFFFFF"/>
        </w:rPr>
        <w:t xml:space="preserve">. </w:t>
      </w:r>
      <w:r w:rsidRPr="00342B16">
        <w:rPr>
          <w:color w:val="222222"/>
        </w:rPr>
        <w:br/>
      </w:r>
    </w:p>
    <w:p w14:paraId="0A006790" w14:textId="77777777" w:rsidR="00302BAA" w:rsidRPr="00342B16" w:rsidRDefault="00302BAA" w:rsidP="006747FA">
      <w:pPr>
        <w:rPr>
          <w:b/>
        </w:rPr>
      </w:pPr>
    </w:p>
    <w:p w14:paraId="733901FE" w14:textId="0DD6F1A1" w:rsidR="00885526" w:rsidRPr="00342B16" w:rsidRDefault="00885526" w:rsidP="006747FA">
      <w:pPr>
        <w:rPr>
          <w:b/>
        </w:rPr>
      </w:pPr>
      <w:r w:rsidRPr="00342B16">
        <w:rPr>
          <w:b/>
        </w:rPr>
        <w:t xml:space="preserve">Q: What is required to come up </w:t>
      </w:r>
      <w:r w:rsidRPr="00342B16">
        <w:rPr>
          <w:b/>
          <w:bCs/>
        </w:rPr>
        <w:t>early for tenure</w:t>
      </w:r>
      <w:r w:rsidRPr="00342B16">
        <w:rPr>
          <w:b/>
        </w:rPr>
        <w:t xml:space="preserve">? </w:t>
      </w:r>
    </w:p>
    <w:p w14:paraId="3B4F16F5" w14:textId="77777777" w:rsidR="006747FA" w:rsidRPr="00342B16" w:rsidRDefault="006747FA" w:rsidP="006747FA">
      <w:pPr>
        <w:rPr>
          <w:b/>
        </w:rPr>
      </w:pPr>
    </w:p>
    <w:p w14:paraId="4387A4F6" w14:textId="2F41B92D" w:rsidR="00F90500" w:rsidRPr="00342B16" w:rsidRDefault="00885526" w:rsidP="006747FA">
      <w:r w:rsidRPr="00342B16">
        <w:rPr>
          <w:b/>
        </w:rPr>
        <w:t>A:</w:t>
      </w:r>
      <w:r w:rsidRPr="00342B16">
        <w:t xml:space="preserve"> </w:t>
      </w:r>
      <w:r w:rsidR="00026BE9" w:rsidRPr="00342B16">
        <w:t>The Faculty</w:t>
      </w:r>
      <w:r w:rsidRPr="00342B16">
        <w:t xml:space="preserve"> Handbook and </w:t>
      </w:r>
      <w:r w:rsidR="008968B8" w:rsidRPr="00342B16">
        <w:t>Academic Affairs R</w:t>
      </w:r>
      <w:r w:rsidR="00F90500" w:rsidRPr="00342B16">
        <w:t>&amp;</w:t>
      </w:r>
      <w:r w:rsidR="008968B8" w:rsidRPr="00342B16">
        <w:t>T</w:t>
      </w:r>
      <w:r w:rsidR="00026BE9" w:rsidRPr="00342B16">
        <w:t xml:space="preserve"> guidelines </w:t>
      </w:r>
      <w:r w:rsidRPr="00342B16">
        <w:t xml:space="preserve">establish additional criteria for early tenure. </w:t>
      </w:r>
      <w:r w:rsidR="00A25420" w:rsidRPr="00342B16">
        <w:t>Early tenure</w:t>
      </w:r>
      <w:r w:rsidRPr="00342B16">
        <w:t xml:space="preserve"> is not encouraged, but </w:t>
      </w:r>
      <w:r w:rsidR="00026BE9" w:rsidRPr="00342B16">
        <w:t>the SOE supports early tenure for</w:t>
      </w:r>
      <w:r w:rsidRPr="00342B16">
        <w:t xml:space="preserve"> </w:t>
      </w:r>
      <w:r w:rsidR="009010AF" w:rsidRPr="00342B16">
        <w:t>rare</w:t>
      </w:r>
      <w:r w:rsidR="0049164F" w:rsidRPr="00342B16">
        <w:t xml:space="preserve">, </w:t>
      </w:r>
      <w:r w:rsidRPr="00342B16">
        <w:t>exceptional</w:t>
      </w:r>
      <w:r w:rsidR="00026BE9" w:rsidRPr="00342B16">
        <w:t xml:space="preserve">ly strong cases. </w:t>
      </w:r>
      <w:r w:rsidR="00F90500" w:rsidRPr="00342B16">
        <w:t xml:space="preserve"> </w:t>
      </w:r>
    </w:p>
    <w:p w14:paraId="64D06BAE" w14:textId="77777777" w:rsidR="00F90500" w:rsidRPr="00342B16" w:rsidRDefault="00F90500" w:rsidP="006747FA"/>
    <w:p w14:paraId="1660EF00" w14:textId="40306844" w:rsidR="00885526" w:rsidRPr="00342B16" w:rsidRDefault="00F90500" w:rsidP="006747FA">
      <w:r w:rsidRPr="00342B16">
        <w:t>See “Guidelines for Managing Shortened Tenure Clocks” (</w:t>
      </w:r>
      <w:hyperlink r:id="rId13" w:history="1">
        <w:r w:rsidR="009010AF" w:rsidRPr="00342B16">
          <w:rPr>
            <w:rStyle w:val="Hyperlink"/>
          </w:rPr>
          <w:t>https://provost.unm.edu/promotion-and-tenure/guidelines/provosts-promotion-tenure-guidelines/index.html</w:t>
        </w:r>
      </w:hyperlink>
      <w:r w:rsidRPr="00342B16">
        <w:t>)</w:t>
      </w:r>
      <w:r w:rsidR="009010AF" w:rsidRPr="00342B16">
        <w:t xml:space="preserve"> and Academic Affairs P&amp;T guidelines for more information on “Early Milestone Reviews”.</w:t>
      </w:r>
    </w:p>
    <w:p w14:paraId="6143E287" w14:textId="77777777" w:rsidR="00F90500" w:rsidRPr="00342B16" w:rsidRDefault="00F90500" w:rsidP="006747FA">
      <w:pPr>
        <w:rPr>
          <w:b/>
        </w:rPr>
      </w:pPr>
    </w:p>
    <w:p w14:paraId="0B347030" w14:textId="77777777" w:rsidR="00302BAA" w:rsidRPr="00342B16" w:rsidRDefault="00302BAA" w:rsidP="006747FA">
      <w:pPr>
        <w:rPr>
          <w:b/>
        </w:rPr>
      </w:pPr>
    </w:p>
    <w:p w14:paraId="59DEBD48" w14:textId="4C91AA05" w:rsidR="00885526" w:rsidRPr="00342B16" w:rsidRDefault="00BF39C0" w:rsidP="006747FA">
      <w:pPr>
        <w:rPr>
          <w:b/>
        </w:rPr>
      </w:pPr>
      <w:r w:rsidRPr="00342B16">
        <w:rPr>
          <w:b/>
        </w:rPr>
        <w:t xml:space="preserve">Q: </w:t>
      </w:r>
      <w:r w:rsidR="00885526" w:rsidRPr="00342B16">
        <w:rPr>
          <w:b/>
        </w:rPr>
        <w:t xml:space="preserve">What is required to come up </w:t>
      </w:r>
      <w:r w:rsidR="00885526" w:rsidRPr="00342B16">
        <w:rPr>
          <w:b/>
          <w:bCs/>
        </w:rPr>
        <w:t>early for promotion</w:t>
      </w:r>
      <w:r w:rsidR="00026BE9" w:rsidRPr="00342B16">
        <w:rPr>
          <w:b/>
          <w:bCs/>
        </w:rPr>
        <w:t xml:space="preserve"> to Full Professor</w:t>
      </w:r>
      <w:r w:rsidR="00026BE9" w:rsidRPr="00342B16">
        <w:rPr>
          <w:b/>
        </w:rPr>
        <w:t xml:space="preserve"> </w:t>
      </w:r>
      <w:r w:rsidR="00885526" w:rsidRPr="00342B16">
        <w:rPr>
          <w:b/>
        </w:rPr>
        <w:t xml:space="preserve">(earlier than </w:t>
      </w:r>
      <w:r w:rsidR="003B6900" w:rsidRPr="00342B16">
        <w:rPr>
          <w:b/>
        </w:rPr>
        <w:t xml:space="preserve">during </w:t>
      </w:r>
      <w:r w:rsidR="00885526" w:rsidRPr="00342B16">
        <w:rPr>
          <w:b/>
        </w:rPr>
        <w:t xml:space="preserve">the typical </w:t>
      </w:r>
      <w:r w:rsidR="003B6900" w:rsidRPr="00342B16">
        <w:rPr>
          <w:b/>
        </w:rPr>
        <w:t>6th</w:t>
      </w:r>
      <w:r w:rsidR="00885526" w:rsidRPr="00342B16">
        <w:rPr>
          <w:b/>
        </w:rPr>
        <w:t xml:space="preserve"> year</w:t>
      </w:r>
      <w:r w:rsidR="00026BE9" w:rsidRPr="00342B16">
        <w:rPr>
          <w:b/>
        </w:rPr>
        <w:t xml:space="preserve"> post tenure</w:t>
      </w:r>
      <w:r w:rsidR="00885526" w:rsidRPr="00342B16">
        <w:rPr>
          <w:b/>
        </w:rPr>
        <w:t xml:space="preserve">)? </w:t>
      </w:r>
    </w:p>
    <w:p w14:paraId="3682DF07" w14:textId="77777777" w:rsidR="006747FA" w:rsidRPr="00342B16" w:rsidRDefault="006747FA" w:rsidP="006747FA">
      <w:pPr>
        <w:rPr>
          <w:b/>
        </w:rPr>
      </w:pPr>
    </w:p>
    <w:p w14:paraId="5110517E" w14:textId="22128F06" w:rsidR="00885526" w:rsidRPr="00342B16" w:rsidRDefault="00885526" w:rsidP="006747FA">
      <w:r w:rsidRPr="00342B16">
        <w:rPr>
          <w:b/>
        </w:rPr>
        <w:t>A:</w:t>
      </w:r>
      <w:r w:rsidRPr="00342B16">
        <w:t xml:space="preserve"> </w:t>
      </w:r>
      <w:r w:rsidR="00F90500" w:rsidRPr="00342B16">
        <w:t xml:space="preserve">The requirements </w:t>
      </w:r>
      <w:r w:rsidR="00FC6E04" w:rsidRPr="00342B16">
        <w:t>for promotion to Full Professor</w:t>
      </w:r>
      <w:r w:rsidR="00F90500" w:rsidRPr="00342B16">
        <w:t xml:space="preserve"> is the same</w:t>
      </w:r>
      <w:r w:rsidR="00FC6E04" w:rsidRPr="00342B16">
        <w:t xml:space="preserve"> </w:t>
      </w:r>
      <w:r w:rsidR="00026BE9" w:rsidRPr="00342B16">
        <w:t xml:space="preserve">if the </w:t>
      </w:r>
      <w:r w:rsidRPr="00342B16">
        <w:t xml:space="preserve">evaluation </w:t>
      </w:r>
      <w:r w:rsidR="00026BE9" w:rsidRPr="00342B16">
        <w:t>period is shortened</w:t>
      </w:r>
      <w:r w:rsidR="00FC6E04" w:rsidRPr="00342B16">
        <w:t xml:space="preserve"> (typically by one year)</w:t>
      </w:r>
      <w:r w:rsidR="00026BE9" w:rsidRPr="00342B16">
        <w:t xml:space="preserve">. </w:t>
      </w:r>
      <w:r w:rsidRPr="00342B16">
        <w:t xml:space="preserve">Early promotion </w:t>
      </w:r>
      <w:r w:rsidR="009010AF" w:rsidRPr="00342B16">
        <w:t>may be</w:t>
      </w:r>
      <w:r w:rsidRPr="00342B16">
        <w:t xml:space="preserve"> appropriate if a candidate</w:t>
      </w:r>
      <w:r w:rsidR="00026BE9" w:rsidRPr="00342B16">
        <w:t xml:space="preserve"> </w:t>
      </w:r>
      <w:r w:rsidRPr="00342B16">
        <w:t xml:space="preserve">meets </w:t>
      </w:r>
      <w:proofErr w:type="gramStart"/>
      <w:r w:rsidRPr="00342B16">
        <w:t>all of</w:t>
      </w:r>
      <w:proofErr w:type="gramEnd"/>
      <w:r w:rsidRPr="00342B16">
        <w:t xml:space="preserve"> the requirements </w:t>
      </w:r>
      <w:r w:rsidR="00026BE9" w:rsidRPr="00342B16">
        <w:t xml:space="preserve">for Promotion </w:t>
      </w:r>
      <w:r w:rsidRPr="00342B16">
        <w:t>faster than</w:t>
      </w:r>
      <w:r w:rsidR="00026BE9" w:rsidRPr="00342B16">
        <w:t xml:space="preserve"> is</w:t>
      </w:r>
      <w:r w:rsidRPr="00342B16">
        <w:t xml:space="preserve"> typical. Candidates should consult with their chair to </w:t>
      </w:r>
      <w:r w:rsidR="00026BE9" w:rsidRPr="00342B16">
        <w:t>establish whether</w:t>
      </w:r>
      <w:r w:rsidRPr="00342B16">
        <w:t xml:space="preserve"> early promotion is appropriate</w:t>
      </w:r>
      <w:r w:rsidR="00502504" w:rsidRPr="00342B16">
        <w:t xml:space="preserve"> for </w:t>
      </w:r>
      <w:r w:rsidR="00FC6E04" w:rsidRPr="00342B16">
        <w:t xml:space="preserve">their </w:t>
      </w:r>
      <w:r w:rsidR="00502504" w:rsidRPr="00342B16">
        <w:t>case.</w:t>
      </w:r>
      <w:r w:rsidR="009010AF" w:rsidRPr="00342B16">
        <w:t xml:space="preserve"> </w:t>
      </w:r>
    </w:p>
    <w:p w14:paraId="44BD296A" w14:textId="77777777" w:rsidR="00885526" w:rsidRPr="00342B16" w:rsidRDefault="00885526" w:rsidP="00FC1012"/>
    <w:p w14:paraId="7B50E1D2" w14:textId="77777777" w:rsidR="00302BAA" w:rsidRPr="00342B16" w:rsidRDefault="00302BAA" w:rsidP="006747FA">
      <w:pPr>
        <w:rPr>
          <w:b/>
        </w:rPr>
      </w:pPr>
    </w:p>
    <w:p w14:paraId="2863560F" w14:textId="75C0AA44" w:rsidR="007071B9" w:rsidRPr="00342B16" w:rsidRDefault="00BF39C0" w:rsidP="006747FA">
      <w:pPr>
        <w:rPr>
          <w:b/>
        </w:rPr>
      </w:pPr>
      <w:r w:rsidRPr="00342B16">
        <w:rPr>
          <w:b/>
        </w:rPr>
        <w:t xml:space="preserve">Q: </w:t>
      </w:r>
      <w:r w:rsidR="007071B9" w:rsidRPr="00342B16">
        <w:rPr>
          <w:b/>
        </w:rPr>
        <w:t>How should I include unpublished research?</w:t>
      </w:r>
    </w:p>
    <w:p w14:paraId="4C2600F8" w14:textId="77777777" w:rsidR="006747FA" w:rsidRPr="00342B16" w:rsidRDefault="006747FA" w:rsidP="006747FA">
      <w:pPr>
        <w:rPr>
          <w:b/>
        </w:rPr>
      </w:pPr>
    </w:p>
    <w:p w14:paraId="1031A0BA" w14:textId="0CC3E43C" w:rsidR="007071B9" w:rsidRPr="00342B16" w:rsidRDefault="00BF39C0" w:rsidP="006747FA">
      <w:r w:rsidRPr="00342B16">
        <w:rPr>
          <w:b/>
        </w:rPr>
        <w:t>A:</w:t>
      </w:r>
      <w:r w:rsidRPr="00342B16">
        <w:t xml:space="preserve"> </w:t>
      </w:r>
      <w:r w:rsidR="007071B9" w:rsidRPr="00342B16">
        <w:t xml:space="preserve">The </w:t>
      </w:r>
      <w:r w:rsidRPr="00342B16">
        <w:t xml:space="preserve">Academic Affairs </w:t>
      </w:r>
      <w:r w:rsidR="009010AF" w:rsidRPr="00342B16">
        <w:t>P&amp;</w:t>
      </w:r>
      <w:r w:rsidRPr="00342B16">
        <w:t>T</w:t>
      </w:r>
      <w:r w:rsidR="007071B9" w:rsidRPr="00342B16">
        <w:t xml:space="preserve"> </w:t>
      </w:r>
      <w:r w:rsidRPr="00342B16">
        <w:t>guidelines</w:t>
      </w:r>
      <w:r w:rsidR="007071B9" w:rsidRPr="00342B16">
        <w:t xml:space="preserve"> outline that published and accepted papers should be included in the CV. Submitted manuscripts should be listed separately. </w:t>
      </w:r>
      <w:r w:rsidR="009010AF" w:rsidRPr="00342B16">
        <w:t>Note that l</w:t>
      </w:r>
      <w:r w:rsidR="00885526" w:rsidRPr="00342B16">
        <w:t xml:space="preserve">ong lists of manuscripts </w:t>
      </w:r>
      <w:r w:rsidR="007071B9" w:rsidRPr="00342B16">
        <w:t>that have been</w:t>
      </w:r>
      <w:r w:rsidR="00885526" w:rsidRPr="00342B16">
        <w:t xml:space="preserve"> recently submitted </w:t>
      </w:r>
      <w:r w:rsidR="007071B9" w:rsidRPr="00342B16">
        <w:t xml:space="preserve">but not accepted </w:t>
      </w:r>
      <w:r w:rsidR="00885526" w:rsidRPr="00342B16">
        <w:t>are not viewed favorably</w:t>
      </w:r>
      <w:r w:rsidR="007071B9" w:rsidRPr="00342B16">
        <w:t>. Manuscripts in prep</w:t>
      </w:r>
      <w:r w:rsidR="009010AF" w:rsidRPr="00342B16">
        <w:t>aration</w:t>
      </w:r>
      <w:r w:rsidR="007071B9" w:rsidRPr="00342B16">
        <w:t xml:space="preserve"> that are not yet submitted should not be listed on the CV.</w:t>
      </w:r>
    </w:p>
    <w:p w14:paraId="74AA9B3E" w14:textId="77777777" w:rsidR="00F90500" w:rsidRPr="00342B16" w:rsidRDefault="00F90500" w:rsidP="006747FA">
      <w:pPr>
        <w:rPr>
          <w:b/>
        </w:rPr>
      </w:pPr>
    </w:p>
    <w:p w14:paraId="781D1DE7" w14:textId="77777777" w:rsidR="00302BAA" w:rsidRPr="00342B16" w:rsidRDefault="00302BAA" w:rsidP="006747FA">
      <w:pPr>
        <w:rPr>
          <w:b/>
        </w:rPr>
      </w:pPr>
    </w:p>
    <w:p w14:paraId="7A131C8C" w14:textId="68F41D83" w:rsidR="00885526" w:rsidRPr="00342B16" w:rsidRDefault="00885526" w:rsidP="006747FA">
      <w:pPr>
        <w:rPr>
          <w:b/>
        </w:rPr>
      </w:pPr>
      <w:r w:rsidRPr="00342B16">
        <w:rPr>
          <w:b/>
        </w:rPr>
        <w:t xml:space="preserve">Q: My tenure/promotion/mid-pro evaluation period includes the 2020/2021 and 2021/2022 academic years. How does the </w:t>
      </w:r>
      <w:r w:rsidRPr="00342B16">
        <w:rPr>
          <w:b/>
          <w:bCs/>
        </w:rPr>
        <w:t>COVID policy</w:t>
      </w:r>
      <w:r w:rsidRPr="00342B16">
        <w:rPr>
          <w:b/>
        </w:rPr>
        <w:t xml:space="preserve"> impact my tenure clock and expectations? </w:t>
      </w:r>
    </w:p>
    <w:p w14:paraId="43FF32D4" w14:textId="77777777" w:rsidR="006747FA" w:rsidRPr="00342B16" w:rsidRDefault="006747FA" w:rsidP="006747FA">
      <w:pPr>
        <w:rPr>
          <w:b/>
        </w:rPr>
      </w:pPr>
    </w:p>
    <w:p w14:paraId="00169AE9" w14:textId="2FDC09B2" w:rsidR="00885526" w:rsidRPr="00342B16" w:rsidRDefault="00885526" w:rsidP="006747FA">
      <w:r w:rsidRPr="00342B16">
        <w:rPr>
          <w:b/>
        </w:rPr>
        <w:t>A:</w:t>
      </w:r>
      <w:r w:rsidRPr="00342B16">
        <w:t xml:space="preserve"> </w:t>
      </w:r>
      <w:r w:rsidR="00B073F5" w:rsidRPr="00342B16">
        <w:t xml:space="preserve">This </w:t>
      </w:r>
      <w:hyperlink r:id="rId14" w:history="1">
        <w:r w:rsidR="00B073F5" w:rsidRPr="00342B16">
          <w:rPr>
            <w:rStyle w:val="Hyperlink"/>
          </w:rPr>
          <w:t>memo</w:t>
        </w:r>
      </w:hyperlink>
      <w:r w:rsidR="00B073F5" w:rsidRPr="00342B16">
        <w:t xml:space="preserve"> addresses tenure clock extensions</w:t>
      </w:r>
      <w:r w:rsidR="009010AF" w:rsidRPr="00342B16">
        <w:t xml:space="preserve"> due to the COVID-19 pandemic.</w:t>
      </w:r>
      <w:r w:rsidR="00B073F5" w:rsidRPr="00342B16">
        <w:t xml:space="preserve"> COVID-19 Impact Guidelines are also included in the </w:t>
      </w:r>
      <w:r w:rsidR="00BF39C0" w:rsidRPr="00342B16">
        <w:t>Academic Affairs P</w:t>
      </w:r>
      <w:r w:rsidR="009010AF" w:rsidRPr="00342B16">
        <w:t>&amp;</w:t>
      </w:r>
      <w:r w:rsidR="00BF39C0" w:rsidRPr="00342B16">
        <w:t>T</w:t>
      </w:r>
      <w:r w:rsidR="00B073F5" w:rsidRPr="00342B16">
        <w:t xml:space="preserve"> Guidelines. </w:t>
      </w:r>
    </w:p>
    <w:p w14:paraId="45889675" w14:textId="77777777" w:rsidR="00D5661D" w:rsidRPr="00342B16" w:rsidRDefault="00D5661D" w:rsidP="006747FA"/>
    <w:p w14:paraId="40486D15" w14:textId="67863A47" w:rsidR="00D5661D" w:rsidRPr="00342B16" w:rsidRDefault="00026BE9" w:rsidP="00FC6E04">
      <w:r w:rsidRPr="00342B16">
        <w:t>Faculty</w:t>
      </w:r>
      <w:r w:rsidR="00885526" w:rsidRPr="00342B16">
        <w:t xml:space="preserve"> are automatically granted an additional year on tenure and mid-pro evaluations (on top of any parental or sick leave extensions)</w:t>
      </w:r>
      <w:r w:rsidRPr="00342B16">
        <w:t xml:space="preserve"> </w:t>
      </w:r>
      <w:r w:rsidR="00FC6E04" w:rsidRPr="00342B16">
        <w:t>for faculty hired u</w:t>
      </w:r>
      <w:r w:rsidR="00D5661D" w:rsidRPr="00342B16">
        <w:t>ntil</w:t>
      </w:r>
      <w:r w:rsidR="00FC6E04" w:rsidRPr="00342B16">
        <w:t xml:space="preserve"> January 2021</w:t>
      </w:r>
      <w:r w:rsidR="00885526" w:rsidRPr="00342B16">
        <w:t>. You may opt out of this additional year</w:t>
      </w:r>
      <w:r w:rsidRPr="00342B16">
        <w:t xml:space="preserve"> following instructions in the </w:t>
      </w:r>
      <w:r w:rsidR="00BF39C0" w:rsidRPr="00342B16">
        <w:t xml:space="preserve">Academic Affairs </w:t>
      </w:r>
      <w:r w:rsidR="009010AF" w:rsidRPr="00342B16">
        <w:t>P&amp;</w:t>
      </w:r>
      <w:r w:rsidR="00BF39C0" w:rsidRPr="00342B16">
        <w:t>T guidelines</w:t>
      </w:r>
      <w:r w:rsidR="00885526" w:rsidRPr="00342B16">
        <w:t xml:space="preserve">. You will not be evaluated differently for taking extensions. </w:t>
      </w:r>
    </w:p>
    <w:p w14:paraId="365C16BE" w14:textId="77777777" w:rsidR="00D5661D" w:rsidRPr="00342B16" w:rsidRDefault="00D5661D" w:rsidP="00FC6E04"/>
    <w:p w14:paraId="5EF1AE1C" w14:textId="087EE517" w:rsidR="00FC6E04" w:rsidRPr="00342B16" w:rsidRDefault="00FC6E04" w:rsidP="00FC6E04">
      <w:r w:rsidRPr="00342B16">
        <w:t xml:space="preserve">Additionally, </w:t>
      </w:r>
      <w:r w:rsidR="000032A8" w:rsidRPr="00342B16">
        <w:t>note that Student Evaluations of Teaching (SETs) for Spring, 2020, Fall 2020 and Spring 2021 is optional</w:t>
      </w:r>
      <w:r w:rsidRPr="00342B16">
        <w:t xml:space="preserve">. </w:t>
      </w:r>
      <w:r w:rsidR="00E81DA7" w:rsidRPr="00342B16">
        <w:t>P</w:t>
      </w:r>
      <w:r w:rsidR="000032A8" w:rsidRPr="00342B16">
        <w:t>lease see FAQ</w:t>
      </w:r>
      <w:r w:rsidR="009010AF" w:rsidRPr="00342B16">
        <w:t>s</w:t>
      </w:r>
      <w:r w:rsidR="000032A8" w:rsidRPr="00342B16">
        <w:t xml:space="preserve"> above about summarizing teaching evaluation scores</w:t>
      </w:r>
      <w:r w:rsidR="009010AF" w:rsidRPr="00342B16">
        <w:t xml:space="preserve"> and comments.</w:t>
      </w:r>
      <w:r w:rsidR="000032A8" w:rsidRPr="00342B16">
        <w:t xml:space="preserve"> </w:t>
      </w:r>
    </w:p>
    <w:p w14:paraId="01BB2C60" w14:textId="77777777" w:rsidR="00FC6E04" w:rsidRPr="00342B16" w:rsidRDefault="00FC6E04" w:rsidP="006747FA">
      <w:pPr>
        <w:rPr>
          <w:color w:val="000000" w:themeColor="text1"/>
        </w:rPr>
      </w:pPr>
    </w:p>
    <w:p w14:paraId="21D2ED8C" w14:textId="035E84B7" w:rsidR="009010AF" w:rsidRPr="00342B16" w:rsidRDefault="00885526" w:rsidP="006747FA">
      <w:r w:rsidRPr="00342B16">
        <w:t xml:space="preserve">If your tenure case is impacted by the COVID-19 pandemic, this should be explained in your statements. For example, if you faced delays in setting up </w:t>
      </w:r>
      <w:r w:rsidR="0011795C" w:rsidRPr="00342B16">
        <w:t xml:space="preserve">a </w:t>
      </w:r>
      <w:r w:rsidRPr="00342B16">
        <w:t>lab, recruiting graduate students, having publications reviewed</w:t>
      </w:r>
      <w:r w:rsidR="0011795C" w:rsidRPr="00342B16">
        <w:t xml:space="preserve"> or</w:t>
      </w:r>
      <w:r w:rsidRPr="00342B16">
        <w:t xml:space="preserve"> </w:t>
      </w:r>
      <w:r w:rsidR="0011795C" w:rsidRPr="00342B16">
        <w:t xml:space="preserve">having </w:t>
      </w:r>
      <w:r w:rsidRPr="00342B16">
        <w:t>grants</w:t>
      </w:r>
      <w:r w:rsidR="0011795C" w:rsidRPr="00342B16">
        <w:t xml:space="preserve"> funded, or graduating Ph.D. students</w:t>
      </w:r>
      <w:r w:rsidR="009010AF" w:rsidRPr="00342B16">
        <w:t>,</w:t>
      </w:r>
      <w:r w:rsidR="0011795C" w:rsidRPr="00342B16">
        <w:t xml:space="preserve"> this may be explained in your research statement.  </w:t>
      </w:r>
    </w:p>
    <w:p w14:paraId="149613B0" w14:textId="77777777" w:rsidR="009010AF" w:rsidRPr="00342B16" w:rsidRDefault="009010AF" w:rsidP="006747FA">
      <w:pPr>
        <w:rPr>
          <w:b/>
        </w:rPr>
      </w:pPr>
    </w:p>
    <w:p w14:paraId="7A78E010" w14:textId="77777777" w:rsidR="00302BAA" w:rsidRPr="00342B16" w:rsidRDefault="00302BAA" w:rsidP="006747FA">
      <w:pPr>
        <w:rPr>
          <w:b/>
        </w:rPr>
      </w:pPr>
    </w:p>
    <w:p w14:paraId="34870DCB" w14:textId="101115AA" w:rsidR="0011795C" w:rsidRPr="00342B16" w:rsidRDefault="00502504" w:rsidP="006747FA">
      <w:pPr>
        <w:rPr>
          <w:b/>
        </w:rPr>
      </w:pPr>
      <w:r w:rsidRPr="00342B16">
        <w:rPr>
          <w:b/>
        </w:rPr>
        <w:t xml:space="preserve">Q: </w:t>
      </w:r>
      <w:r w:rsidR="00DD2B8E" w:rsidRPr="00342B16">
        <w:rPr>
          <w:b/>
        </w:rPr>
        <w:t>Will I be denied tenure if I have not</w:t>
      </w:r>
      <w:r w:rsidR="0011795C" w:rsidRPr="00342B16">
        <w:rPr>
          <w:b/>
        </w:rPr>
        <w:t xml:space="preserve"> </w:t>
      </w:r>
      <w:r w:rsidR="00DD2B8E" w:rsidRPr="00342B16">
        <w:rPr>
          <w:b/>
        </w:rPr>
        <w:t>advised a</w:t>
      </w:r>
      <w:r w:rsidR="0011795C" w:rsidRPr="00342B16">
        <w:rPr>
          <w:b/>
        </w:rPr>
        <w:t xml:space="preserve"> doctoral student who </w:t>
      </w:r>
      <w:r w:rsidR="00DD2B8E" w:rsidRPr="00342B16">
        <w:rPr>
          <w:b/>
        </w:rPr>
        <w:t>has</w:t>
      </w:r>
      <w:r w:rsidR="0011795C" w:rsidRPr="00342B16">
        <w:rPr>
          <w:b/>
        </w:rPr>
        <w:t xml:space="preserve"> graduated or </w:t>
      </w:r>
      <w:r w:rsidR="00DD2B8E" w:rsidRPr="00342B16">
        <w:rPr>
          <w:b/>
        </w:rPr>
        <w:t>is</w:t>
      </w:r>
      <w:r w:rsidR="0011795C" w:rsidRPr="00342B16">
        <w:rPr>
          <w:b/>
        </w:rPr>
        <w:t xml:space="preserve"> close to graduation</w:t>
      </w:r>
      <w:r w:rsidR="00DD2B8E" w:rsidRPr="00342B16">
        <w:rPr>
          <w:b/>
        </w:rPr>
        <w:t>?</w:t>
      </w:r>
    </w:p>
    <w:p w14:paraId="325EB3E5" w14:textId="77777777" w:rsidR="006747FA" w:rsidRPr="00342B16" w:rsidRDefault="006747FA" w:rsidP="006747FA">
      <w:pPr>
        <w:rPr>
          <w:b/>
        </w:rPr>
      </w:pPr>
    </w:p>
    <w:p w14:paraId="463F0F91" w14:textId="0769C04E" w:rsidR="007B2F2E" w:rsidRPr="00342B16" w:rsidRDefault="00DD2B8E" w:rsidP="006747FA">
      <w:r w:rsidRPr="00342B16">
        <w:rPr>
          <w:b/>
        </w:rPr>
        <w:t>A:</w:t>
      </w:r>
      <w:r w:rsidR="007B2F2E" w:rsidRPr="00342B16">
        <w:t xml:space="preserve"> It </w:t>
      </w:r>
      <w:r w:rsidR="007B2F2E" w:rsidRPr="00342B16">
        <w:rPr>
          <w:iCs/>
        </w:rPr>
        <w:t>is</w:t>
      </w:r>
      <w:r w:rsidR="007B2F2E" w:rsidRPr="00342B16">
        <w:t xml:space="preserve"> an expectation in the SOE P&amp;T Policy that for promotion to the Associate Professor level you have a demonstrated record of graduating doctoral students. </w:t>
      </w:r>
      <w:r w:rsidR="007071B9" w:rsidRPr="00342B16">
        <w:t>D</w:t>
      </w:r>
      <w:r w:rsidR="0011795C" w:rsidRPr="00342B16">
        <w:t>emonstrating</w:t>
      </w:r>
      <w:r w:rsidRPr="00342B16">
        <w:t xml:space="preserve"> graduate student progress toward graduation is an indicator of research excellence</w:t>
      </w:r>
      <w:r w:rsidR="007B2F2E" w:rsidRPr="00342B16">
        <w:t xml:space="preserve">. </w:t>
      </w:r>
    </w:p>
    <w:p w14:paraId="7EFEE777" w14:textId="77777777" w:rsidR="007B2F2E" w:rsidRPr="00342B16" w:rsidRDefault="007B2F2E" w:rsidP="006747FA"/>
    <w:p w14:paraId="039C51B1" w14:textId="6C8D7589" w:rsidR="00FC6E04" w:rsidRPr="00342B16" w:rsidRDefault="007B2F2E" w:rsidP="006747FA">
      <w:r w:rsidRPr="00342B16">
        <w:t>H</w:t>
      </w:r>
      <w:r w:rsidR="00DD2B8E" w:rsidRPr="00342B16">
        <w:t xml:space="preserve">owever, each </w:t>
      </w:r>
      <w:r w:rsidR="00C141F1" w:rsidRPr="00342B16">
        <w:t xml:space="preserve">tenure </w:t>
      </w:r>
      <w:r w:rsidR="00DD2B8E" w:rsidRPr="00342B16">
        <w:t xml:space="preserve">case is considered </w:t>
      </w:r>
      <w:proofErr w:type="gramStart"/>
      <w:r w:rsidR="00DD2B8E" w:rsidRPr="00342B16">
        <w:t>individually</w:t>
      </w:r>
      <w:proofErr w:type="gramEnd"/>
      <w:r w:rsidR="00DD2B8E" w:rsidRPr="00342B16">
        <w:t xml:space="preserve"> and research excellence is evaluated holistically. </w:t>
      </w:r>
      <w:r w:rsidR="007071B9" w:rsidRPr="00342B16">
        <w:t>SOE and departmental t</w:t>
      </w:r>
      <w:r w:rsidR="0011795C" w:rsidRPr="00342B16">
        <w:t>enure committees will take into consideration</w:t>
      </w:r>
      <w:r w:rsidRPr="00342B16">
        <w:t xml:space="preserve"> special circumstances, </w:t>
      </w:r>
      <w:r w:rsidR="0011795C" w:rsidRPr="00342B16">
        <w:t xml:space="preserve">for example if </w:t>
      </w:r>
      <w:r w:rsidR="00DD2B8E" w:rsidRPr="00342B16">
        <w:t>COVID caused</w:t>
      </w:r>
      <w:r w:rsidR="00C141F1" w:rsidRPr="00342B16">
        <w:t xml:space="preserve"> substantial delays in</w:t>
      </w:r>
      <w:r w:rsidR="00DD2B8E" w:rsidRPr="00342B16">
        <w:t xml:space="preserve"> </w:t>
      </w:r>
      <w:r w:rsidR="0011795C" w:rsidRPr="00342B16">
        <w:t xml:space="preserve">graduate </w:t>
      </w:r>
      <w:r w:rsidR="00C141F1" w:rsidRPr="00342B16">
        <w:t>research,</w:t>
      </w:r>
      <w:r w:rsidR="0011795C" w:rsidRPr="00342B16">
        <w:t xml:space="preserve"> or if </w:t>
      </w:r>
      <w:r w:rsidR="00DD2B8E" w:rsidRPr="00342B16">
        <w:t xml:space="preserve">a </w:t>
      </w:r>
      <w:r w:rsidR="0011795C" w:rsidRPr="00342B16">
        <w:t xml:space="preserve">graduate student left </w:t>
      </w:r>
      <w:r w:rsidR="00DD2B8E" w:rsidRPr="00342B16">
        <w:t>the</w:t>
      </w:r>
      <w:r w:rsidR="0011795C" w:rsidRPr="00342B16">
        <w:t xml:space="preserve"> program. </w:t>
      </w:r>
      <w:r w:rsidRPr="00342B16">
        <w:t xml:space="preserve">In addition to PhD students graduated, another important consideration for the </w:t>
      </w:r>
      <w:r w:rsidR="00DD2B8E" w:rsidRPr="00342B16">
        <w:t>tenure</w:t>
      </w:r>
      <w:r w:rsidRPr="00342B16">
        <w:t xml:space="preserve"> and promotion</w:t>
      </w:r>
      <w:r w:rsidR="00DD2B8E" w:rsidRPr="00342B16">
        <w:t xml:space="preserve"> committees </w:t>
      </w:r>
      <w:r w:rsidRPr="00342B16">
        <w:t>is graduate student pipeline, that is, graduate</w:t>
      </w:r>
      <w:r w:rsidR="00C141F1" w:rsidRPr="00342B16">
        <w:t xml:space="preserve"> student</w:t>
      </w:r>
      <w:r w:rsidR="00DD2B8E" w:rsidRPr="00342B16">
        <w:t xml:space="preserve"> progress</w:t>
      </w:r>
      <w:r w:rsidR="0011795C" w:rsidRPr="00342B16">
        <w:t xml:space="preserve"> toward milestone evaluations (i.e., coursework completion, strong </w:t>
      </w:r>
      <w:r w:rsidR="0011795C" w:rsidRPr="00342B16">
        <w:lastRenderedPageBreak/>
        <w:t>publishing track record, passing</w:t>
      </w:r>
      <w:r w:rsidRPr="00342B16">
        <w:t xml:space="preserve"> qualifying exams, passing</w:t>
      </w:r>
      <w:r w:rsidR="0011795C" w:rsidRPr="00342B16">
        <w:t xml:space="preserve"> comprehensive exams, passing dissertation proposal, and granting of candidacy).</w:t>
      </w:r>
      <w:r w:rsidRPr="00342B16">
        <w:t xml:space="preserve"> </w:t>
      </w:r>
      <w:proofErr w:type="gramStart"/>
      <w:r w:rsidRPr="00342B16">
        <w:t>So</w:t>
      </w:r>
      <w:proofErr w:type="gramEnd"/>
      <w:r w:rsidRPr="00342B16">
        <w:t xml:space="preserve"> make sure for current graduate students, their progress in their Ph.D. programs are clearly indicated. </w:t>
      </w:r>
    </w:p>
    <w:p w14:paraId="51EAD19C" w14:textId="77777777" w:rsidR="0011795C" w:rsidRPr="00342B16" w:rsidRDefault="0011795C" w:rsidP="006747FA"/>
    <w:p w14:paraId="3F2B37F6" w14:textId="77777777" w:rsidR="00302BAA" w:rsidRPr="00342B16" w:rsidRDefault="00302BAA" w:rsidP="006747FA">
      <w:pPr>
        <w:rPr>
          <w:b/>
        </w:rPr>
      </w:pPr>
    </w:p>
    <w:p w14:paraId="5C8E995B" w14:textId="0A38C6B1" w:rsidR="00885526" w:rsidRPr="00342B16" w:rsidRDefault="00462BDC" w:rsidP="006747FA">
      <w:pPr>
        <w:rPr>
          <w:b/>
        </w:rPr>
      </w:pPr>
      <w:r w:rsidRPr="00342B16">
        <w:rPr>
          <w:b/>
        </w:rPr>
        <w:t xml:space="preserve">Q: </w:t>
      </w:r>
      <w:r w:rsidR="00885526" w:rsidRPr="00342B16">
        <w:rPr>
          <w:b/>
        </w:rPr>
        <w:t xml:space="preserve">Should annual </w:t>
      </w:r>
      <w:r w:rsidR="008F19E1" w:rsidRPr="00342B16">
        <w:rPr>
          <w:b/>
        </w:rPr>
        <w:t xml:space="preserve">performance </w:t>
      </w:r>
      <w:r w:rsidR="00885526" w:rsidRPr="00342B16">
        <w:rPr>
          <w:b/>
        </w:rPr>
        <w:t>reviews be included in the department review of a candidate?</w:t>
      </w:r>
    </w:p>
    <w:p w14:paraId="0025424C" w14:textId="77777777" w:rsidR="006747FA" w:rsidRPr="00342B16" w:rsidRDefault="006747FA" w:rsidP="006747FA">
      <w:pPr>
        <w:rPr>
          <w:b/>
        </w:rPr>
      </w:pPr>
    </w:p>
    <w:p w14:paraId="0E9EB1CF" w14:textId="5C16015F" w:rsidR="00885526" w:rsidRPr="00342B16" w:rsidRDefault="00AC4F19" w:rsidP="008F19E1">
      <w:r w:rsidRPr="00342B16">
        <w:rPr>
          <w:b/>
        </w:rPr>
        <w:t>A:</w:t>
      </w:r>
      <w:r w:rsidRPr="00342B16">
        <w:t xml:space="preserve"> </w:t>
      </w:r>
      <w:r w:rsidR="00885526" w:rsidRPr="00342B16">
        <w:t>Yes</w:t>
      </w:r>
      <w:r w:rsidR="008F19E1" w:rsidRPr="00342B16">
        <w:t xml:space="preserve">, full annual reviews should be included in the materials for promotion and tenure. Access to a candidate’s annual reviews is anticipated for anyone who has an official role in the evaluation for tenure status and rank, which includes eligible department voting faculty and the P&amp;T committees (department and school). Reviewers need to know what department chairs told the candidates at earlier annual or mid probationary reviews to know whether the candidate had a clear picture of expectations for and progress toward tenure. </w:t>
      </w:r>
    </w:p>
    <w:p w14:paraId="64DF1595" w14:textId="77777777" w:rsidR="007B2F2E" w:rsidRPr="00342B16" w:rsidRDefault="007B2F2E" w:rsidP="006747FA">
      <w:pPr>
        <w:rPr>
          <w:b/>
        </w:rPr>
      </w:pPr>
    </w:p>
    <w:p w14:paraId="66F70B80" w14:textId="77777777" w:rsidR="00302BAA" w:rsidRPr="00342B16" w:rsidRDefault="00302BAA" w:rsidP="006747FA">
      <w:pPr>
        <w:rPr>
          <w:b/>
        </w:rPr>
      </w:pPr>
    </w:p>
    <w:p w14:paraId="7CD96DF2" w14:textId="780EB307" w:rsidR="00885526" w:rsidRPr="00342B16" w:rsidRDefault="00462BDC" w:rsidP="006747FA">
      <w:pPr>
        <w:rPr>
          <w:b/>
        </w:rPr>
      </w:pPr>
      <w:r w:rsidRPr="00342B16">
        <w:rPr>
          <w:b/>
        </w:rPr>
        <w:t xml:space="preserve">Q: </w:t>
      </w:r>
      <w:r w:rsidR="00885526" w:rsidRPr="00342B16">
        <w:rPr>
          <w:b/>
        </w:rPr>
        <w:t>What should I include as supplemental material</w:t>
      </w:r>
      <w:r w:rsidR="00C141F1" w:rsidRPr="00342B16">
        <w:rPr>
          <w:b/>
        </w:rPr>
        <w:t xml:space="preserve"> in </w:t>
      </w:r>
      <w:r w:rsidR="00DA0E72" w:rsidRPr="00342B16">
        <w:rPr>
          <w:b/>
        </w:rPr>
        <w:t xml:space="preserve">my </w:t>
      </w:r>
      <w:r w:rsidR="00C141F1" w:rsidRPr="00342B16">
        <w:rPr>
          <w:b/>
        </w:rPr>
        <w:t>RPT</w:t>
      </w:r>
      <w:r w:rsidR="00885526" w:rsidRPr="00342B16">
        <w:rPr>
          <w:b/>
        </w:rPr>
        <w:t xml:space="preserve">? </w:t>
      </w:r>
    </w:p>
    <w:p w14:paraId="61F918E4" w14:textId="77777777" w:rsidR="006747FA" w:rsidRPr="00342B16" w:rsidRDefault="006747FA" w:rsidP="006747FA">
      <w:pPr>
        <w:rPr>
          <w:b/>
        </w:rPr>
      </w:pPr>
    </w:p>
    <w:p w14:paraId="7E5D9D13" w14:textId="24B1FC14" w:rsidR="00F31504" w:rsidRPr="00342B16" w:rsidRDefault="006747FA" w:rsidP="006747FA">
      <w:r w:rsidRPr="00342B16">
        <w:rPr>
          <w:b/>
        </w:rPr>
        <w:t xml:space="preserve">A: </w:t>
      </w:r>
      <w:r w:rsidR="00F31504" w:rsidRPr="00342B16">
        <w:t>See the SOE P&amp;T Policy Attachment for a full list of required Supplemental Materials.</w:t>
      </w:r>
    </w:p>
    <w:p w14:paraId="03945C86" w14:textId="5DFDC576" w:rsidR="00664748" w:rsidRPr="00342B16" w:rsidRDefault="00F31504" w:rsidP="006747FA">
      <w:r w:rsidRPr="00342B16">
        <w:t>Optionally, u</w:t>
      </w:r>
      <w:r w:rsidR="00885526" w:rsidRPr="00342B16">
        <w:t>npublished manuscripts are acceptable as supplemental material, but only substantive</w:t>
      </w:r>
      <w:r w:rsidR="00021686" w:rsidRPr="00342B16">
        <w:t>, high-quality</w:t>
      </w:r>
      <w:r w:rsidR="00885526" w:rsidRPr="00342B16">
        <w:t xml:space="preserve"> </w:t>
      </w:r>
      <w:r w:rsidR="00021686" w:rsidRPr="00342B16">
        <w:t>submitted manuscripts should be included.</w:t>
      </w:r>
      <w:r w:rsidR="00885526" w:rsidRPr="00342B16">
        <w:t xml:space="preserve"> Long lists of manuscripts in press or recently submitted are not viewed favorably. Unsolicited letters</w:t>
      </w:r>
      <w:r w:rsidR="00DA0E72" w:rsidRPr="00342B16">
        <w:t xml:space="preserve"> of support </w:t>
      </w:r>
      <w:r w:rsidR="00885526" w:rsidRPr="00342B16">
        <w:t xml:space="preserve">are acceptable (see </w:t>
      </w:r>
      <w:r w:rsidR="00AC4F19" w:rsidRPr="00342B16">
        <w:t>Academic Affairs P</w:t>
      </w:r>
      <w:r w:rsidR="008F19E1" w:rsidRPr="00342B16">
        <w:t>&amp;</w:t>
      </w:r>
      <w:r w:rsidR="00AC4F19" w:rsidRPr="00342B16">
        <w:t>T</w:t>
      </w:r>
      <w:r w:rsidR="00885526" w:rsidRPr="00342B16">
        <w:t xml:space="preserve"> </w:t>
      </w:r>
      <w:r w:rsidR="00AC4F19" w:rsidRPr="00342B16">
        <w:t>guidelines</w:t>
      </w:r>
      <w:r w:rsidR="00885526" w:rsidRPr="00342B16">
        <w:t>), but they are not allowed after candidate has submitted material</w:t>
      </w:r>
      <w:r w:rsidR="00D5661D" w:rsidRPr="00342B16">
        <w:t xml:space="preserve"> to RPT</w:t>
      </w:r>
      <w:r w:rsidR="00885526" w:rsidRPr="00342B16">
        <w:t xml:space="preserve">. </w:t>
      </w:r>
      <w:r w:rsidRPr="00342B16">
        <w:t xml:space="preserve">Additional teaching material can also be included in supplemental material. </w:t>
      </w:r>
      <w:r w:rsidR="00885526" w:rsidRPr="00342B16">
        <w:t>Supplementa</w:t>
      </w:r>
      <w:r w:rsidR="003A63BE" w:rsidRPr="00342B16">
        <w:t>l</w:t>
      </w:r>
      <w:r w:rsidR="00885526" w:rsidRPr="00342B16">
        <w:t xml:space="preserve"> material beyond that required by the SOE is not </w:t>
      </w:r>
      <w:proofErr w:type="gramStart"/>
      <w:r w:rsidR="00885526" w:rsidRPr="00342B16">
        <w:t>necessary</w:t>
      </w:r>
      <w:r w:rsidRPr="00342B16">
        <w:t>, and</w:t>
      </w:r>
      <w:proofErr w:type="gramEnd"/>
      <w:r w:rsidRPr="00342B16">
        <w:t xml:space="preserve"> should only be included if it strengthens your packet</w:t>
      </w:r>
      <w:r w:rsidR="00DA0E72" w:rsidRPr="00342B16">
        <w:t xml:space="preserve"> (i.e., evidence for excellence in teaching)</w:t>
      </w:r>
      <w:r w:rsidR="00885526" w:rsidRPr="00342B16">
        <w:t>.</w:t>
      </w:r>
      <w:r w:rsidR="00DA0E72" w:rsidRPr="00342B16">
        <w:t xml:space="preserve"> Candidates should discuss this with their department P&amp;T committee.</w:t>
      </w:r>
      <w:r w:rsidRPr="00342B16">
        <w:t xml:space="preserve"> </w:t>
      </w:r>
      <w:r w:rsidR="00D5661D" w:rsidRPr="00342B16">
        <w:t>Chairs will approve supplemental material, and they should guide candidates to ensure that they do not submit lengthy material that distracts from the rest of the packet.</w:t>
      </w:r>
    </w:p>
    <w:p w14:paraId="7F80C881" w14:textId="77777777" w:rsidR="00302BAA" w:rsidRPr="00342B16" w:rsidRDefault="00302BAA" w:rsidP="006747FA">
      <w:pPr>
        <w:rPr>
          <w:b/>
        </w:rPr>
      </w:pPr>
    </w:p>
    <w:p w14:paraId="2A25C771" w14:textId="77777777" w:rsidR="00302BAA" w:rsidRPr="00342B16" w:rsidRDefault="00302BAA" w:rsidP="006747FA">
      <w:pPr>
        <w:rPr>
          <w:b/>
        </w:rPr>
      </w:pPr>
    </w:p>
    <w:p w14:paraId="6FB40C46" w14:textId="0A98FCC5" w:rsidR="00B93E28" w:rsidRPr="00342B16" w:rsidRDefault="00664748" w:rsidP="006747FA">
      <w:r w:rsidRPr="00342B16">
        <w:rPr>
          <w:b/>
        </w:rPr>
        <w:t>Q: How soon after my departmental faculty vote should I expect to hear from my Chair whether my promotion or tenure application was recommended?</w:t>
      </w:r>
      <w:r w:rsidRPr="00342B16">
        <w:t xml:space="preserve"> </w:t>
      </w:r>
    </w:p>
    <w:p w14:paraId="00E2D6BA" w14:textId="77777777" w:rsidR="00B93E28" w:rsidRPr="00342B16" w:rsidRDefault="00B93E28" w:rsidP="006747FA"/>
    <w:p w14:paraId="549BD52D" w14:textId="0E6AE39C" w:rsidR="00B93E28" w:rsidRPr="00342B16" w:rsidRDefault="00B93E28" w:rsidP="006747FA">
      <w:r w:rsidRPr="00342B16">
        <w:t>A: If the letter is negative, the process in the Faculty Handbook, section B.4.3.6 on Negative Recommendations needs to be followed</w:t>
      </w:r>
      <w:r w:rsidR="00DA0E72" w:rsidRPr="00342B16">
        <w:t xml:space="preserve"> </w:t>
      </w:r>
      <w:r w:rsidR="00E81DA7" w:rsidRPr="00342B16">
        <w:t>(</w:t>
      </w:r>
      <w:hyperlink r:id="rId15" w:history="1">
        <w:r w:rsidR="00E81DA7" w:rsidRPr="00342B16">
          <w:rPr>
            <w:rStyle w:val="Hyperlink"/>
          </w:rPr>
          <w:t>https://handbook.unm.edu/b4/</w:t>
        </w:r>
      </w:hyperlink>
      <w:r w:rsidR="00E81DA7" w:rsidRPr="00342B16">
        <w:rPr>
          <w:rStyle w:val="Hyperlink"/>
        </w:rPr>
        <w:t>).</w:t>
      </w:r>
      <w:r w:rsidRPr="00342B16">
        <w:t xml:space="preserve"> </w:t>
      </w:r>
    </w:p>
    <w:p w14:paraId="6B8EF821" w14:textId="77777777" w:rsidR="00DA0E72" w:rsidRPr="00342B16" w:rsidRDefault="00DA0E72" w:rsidP="006747FA"/>
    <w:p w14:paraId="4B787F43" w14:textId="7F031DDA" w:rsidR="008F19E1" w:rsidRPr="00342B16" w:rsidRDefault="00B93E28" w:rsidP="006747FA">
      <w:r w:rsidRPr="00342B16">
        <w:t>If the</w:t>
      </w:r>
      <w:r w:rsidR="00DA0E72" w:rsidRPr="00342B16">
        <w:t xml:space="preserve"> chair</w:t>
      </w:r>
      <w:r w:rsidRPr="00342B16">
        <w:t xml:space="preserve"> letter is positive, it is recommended that that Chair and the Dean let the candidate know of the positive recommendation within a week (the sooner the better). However, it is not the practice, across UNM, to share </w:t>
      </w:r>
      <w:r w:rsidR="00FC6E04" w:rsidRPr="00342B16">
        <w:t xml:space="preserve">a positive </w:t>
      </w:r>
      <w:r w:rsidR="00DA0E72" w:rsidRPr="00342B16">
        <w:t>C</w:t>
      </w:r>
      <w:r w:rsidRPr="00342B16">
        <w:t xml:space="preserve">hair or </w:t>
      </w:r>
      <w:r w:rsidR="00DA0E72" w:rsidRPr="00342B16">
        <w:t>D</w:t>
      </w:r>
      <w:r w:rsidRPr="00342B16">
        <w:t xml:space="preserve">ean’s letter with the candidate. Chairs and </w:t>
      </w:r>
      <w:r w:rsidR="00DA0E72" w:rsidRPr="00342B16">
        <w:t>D</w:t>
      </w:r>
      <w:r w:rsidRPr="00342B16">
        <w:t xml:space="preserve">eans write letters with the knowledge that the letter is a confidential document that won’t be seen unless a negative recommendation is sent forward, and in that case, the letter is redacted. </w:t>
      </w:r>
    </w:p>
    <w:p w14:paraId="52F79E03" w14:textId="77777777" w:rsidR="00302BAA" w:rsidRPr="00342B16" w:rsidRDefault="00302BAA" w:rsidP="006747FA">
      <w:pPr>
        <w:rPr>
          <w:b/>
        </w:rPr>
      </w:pPr>
    </w:p>
    <w:p w14:paraId="2BA970BD" w14:textId="77777777" w:rsidR="00302BAA" w:rsidRPr="00342B16" w:rsidRDefault="00302BAA" w:rsidP="006747FA">
      <w:pPr>
        <w:rPr>
          <w:b/>
        </w:rPr>
      </w:pPr>
    </w:p>
    <w:p w14:paraId="12465482" w14:textId="2E81265C" w:rsidR="00346943" w:rsidRPr="00342B16" w:rsidRDefault="00346943" w:rsidP="006747FA">
      <w:pPr>
        <w:rPr>
          <w:b/>
        </w:rPr>
      </w:pPr>
      <w:r w:rsidRPr="00342B16">
        <w:rPr>
          <w:b/>
        </w:rPr>
        <w:lastRenderedPageBreak/>
        <w:t xml:space="preserve">Q: How are external review letters acquired and what is uploaded to the RPT system? </w:t>
      </w:r>
    </w:p>
    <w:p w14:paraId="1C022E61" w14:textId="77777777" w:rsidR="0092711B" w:rsidRPr="00342B16" w:rsidRDefault="0092711B" w:rsidP="006747FA">
      <w:pPr>
        <w:rPr>
          <w:b/>
        </w:rPr>
      </w:pPr>
    </w:p>
    <w:p w14:paraId="72BC98A0" w14:textId="1E72E3AC" w:rsidR="00346943" w:rsidRPr="00342B16" w:rsidRDefault="009C3A6F" w:rsidP="006747FA">
      <w:r w:rsidRPr="00342B16">
        <w:rPr>
          <w:b/>
        </w:rPr>
        <w:t>A:</w:t>
      </w:r>
      <w:r w:rsidRPr="00342B16">
        <w:t xml:space="preserve"> </w:t>
      </w:r>
      <w:r w:rsidR="00346943" w:rsidRPr="00342B16">
        <w:t xml:space="preserve">The candidate provides a list of 6 potential external reviewers to the </w:t>
      </w:r>
      <w:r w:rsidR="003D1559" w:rsidRPr="00342B16">
        <w:t xml:space="preserve">Department </w:t>
      </w:r>
      <w:r w:rsidR="00346943" w:rsidRPr="00342B16">
        <w:t xml:space="preserve">P&amp;T chair, and the </w:t>
      </w:r>
      <w:r w:rsidR="00DA0E72" w:rsidRPr="00342B16">
        <w:t>department C</w:t>
      </w:r>
      <w:r w:rsidR="00346943" w:rsidRPr="00342B16">
        <w:t xml:space="preserve">hair lists </w:t>
      </w:r>
      <w:r w:rsidR="00445AC1" w:rsidRPr="00342B16">
        <w:t>additional</w:t>
      </w:r>
      <w:r w:rsidR="00346943" w:rsidRPr="00342B16">
        <w:t xml:space="preserve"> reviewers</w:t>
      </w:r>
      <w:r w:rsidR="00445AC1" w:rsidRPr="00342B16">
        <w:t xml:space="preserve"> (generally 6) to potentially invite</w:t>
      </w:r>
      <w:r w:rsidR="00346943" w:rsidRPr="00342B16">
        <w:t xml:space="preserve">. </w:t>
      </w:r>
      <w:r w:rsidR="00DA0E72" w:rsidRPr="00342B16">
        <w:t xml:space="preserve">The list of external </w:t>
      </w:r>
      <w:r w:rsidR="0000206C" w:rsidRPr="00342B16">
        <w:t>reviewers</w:t>
      </w:r>
      <w:r w:rsidR="00DA0E72" w:rsidRPr="00342B16">
        <w:t xml:space="preserve"> needs to be submitted to the Senior Vice Provost (SVP) for review and approval.  </w:t>
      </w:r>
      <w:r w:rsidR="0000206C" w:rsidRPr="00342B16">
        <w:t>After</w:t>
      </w:r>
      <w:r w:rsidR="00DA0E72" w:rsidRPr="00342B16">
        <w:t xml:space="preserve"> approval from SVP, the department </w:t>
      </w:r>
      <w:r w:rsidR="00346943" w:rsidRPr="00342B16">
        <w:t>chair invites reviewers following guidance from the template invitation lette</w:t>
      </w:r>
      <w:r w:rsidR="00DA0E72" w:rsidRPr="00342B16">
        <w:t>r</w:t>
      </w:r>
      <w:r w:rsidR="001353E2" w:rsidRPr="00342B16">
        <w:t xml:space="preserve">. A letter is required from at least 3 reviewers from each list, </w:t>
      </w:r>
      <w:r w:rsidR="00DA0E72" w:rsidRPr="00342B16">
        <w:t xml:space="preserve">candidate’s and chair’s, </w:t>
      </w:r>
      <w:r w:rsidR="001353E2" w:rsidRPr="00342B16">
        <w:t xml:space="preserve">avoiding conflicts of interest and ensuring </w:t>
      </w:r>
      <w:proofErr w:type="gramStart"/>
      <w:r w:rsidR="001353E2" w:rsidRPr="00342B16">
        <w:t>a majority of</w:t>
      </w:r>
      <w:proofErr w:type="gramEnd"/>
      <w:r w:rsidR="001353E2" w:rsidRPr="00342B16">
        <w:t xml:space="preserve"> letters are from R1 institutions. </w:t>
      </w:r>
      <w:r w:rsidR="0000206C" w:rsidRPr="00342B16">
        <w:t>Finally, t</w:t>
      </w:r>
      <w:r w:rsidR="001353E2" w:rsidRPr="00342B16">
        <w:t>he chair will list the reviewers</w:t>
      </w:r>
      <w:r w:rsidR="00445AC1" w:rsidRPr="00342B16">
        <w:t xml:space="preserve"> who were invited</w:t>
      </w:r>
      <w:r w:rsidR="001353E2" w:rsidRPr="00342B16">
        <w:t xml:space="preserve"> and those that responded with a letter on the external reviewer form</w:t>
      </w:r>
      <w:r w:rsidR="000734E0" w:rsidRPr="00342B16">
        <w:t xml:space="preserve"> (attached to </w:t>
      </w:r>
      <w:r w:rsidR="00B93E28" w:rsidRPr="00342B16">
        <w:t>Academic Affairs P</w:t>
      </w:r>
      <w:r w:rsidR="0000206C" w:rsidRPr="00342B16">
        <w:t>&amp;</w:t>
      </w:r>
      <w:r w:rsidR="00B93E28" w:rsidRPr="00342B16">
        <w:t>T</w:t>
      </w:r>
      <w:r w:rsidR="000734E0" w:rsidRPr="00342B16">
        <w:t xml:space="preserve"> Guidelines)</w:t>
      </w:r>
      <w:r w:rsidR="001353E2" w:rsidRPr="00342B16">
        <w:t xml:space="preserve">. </w:t>
      </w:r>
      <w:r w:rsidR="0000206C" w:rsidRPr="00342B16">
        <w:t xml:space="preserve">The list of reviewers </w:t>
      </w:r>
      <w:r w:rsidR="001353E2" w:rsidRPr="00342B16">
        <w:t>is confidential and will not be shared with the candidate.</w:t>
      </w:r>
      <w:r w:rsidR="0000206C" w:rsidRPr="00342B16">
        <w:t xml:space="preserve"> </w:t>
      </w:r>
    </w:p>
    <w:p w14:paraId="4F61EF7B" w14:textId="77777777" w:rsidR="008F19E1" w:rsidRPr="00342B16" w:rsidRDefault="008F19E1" w:rsidP="006747FA"/>
    <w:p w14:paraId="588DF84F" w14:textId="77777777" w:rsidR="00302BAA" w:rsidRPr="00342B16" w:rsidRDefault="00302BAA" w:rsidP="006747FA">
      <w:pPr>
        <w:rPr>
          <w:b/>
        </w:rPr>
      </w:pPr>
    </w:p>
    <w:p w14:paraId="018D8AAD" w14:textId="39D91882" w:rsidR="00AC4F19" w:rsidRPr="00342B16" w:rsidRDefault="001353E2" w:rsidP="006747FA">
      <w:pPr>
        <w:rPr>
          <w:b/>
        </w:rPr>
      </w:pPr>
      <w:r w:rsidRPr="00342B16">
        <w:rPr>
          <w:b/>
        </w:rPr>
        <w:t xml:space="preserve">Q: The SOE policy states that faculty tenure and promotion votes are secret. Should ballot forms be signed? </w:t>
      </w:r>
    </w:p>
    <w:p w14:paraId="6F4A127B" w14:textId="77777777" w:rsidR="0092711B" w:rsidRPr="00342B16" w:rsidRDefault="0092711B" w:rsidP="006747FA">
      <w:pPr>
        <w:rPr>
          <w:b/>
        </w:rPr>
      </w:pPr>
    </w:p>
    <w:p w14:paraId="4E199F74" w14:textId="7908135D" w:rsidR="00664748" w:rsidRPr="00342B16" w:rsidRDefault="00AC4F19" w:rsidP="006747FA">
      <w:r w:rsidRPr="00342B16">
        <w:rPr>
          <w:b/>
        </w:rPr>
        <w:t>A:</w:t>
      </w:r>
      <w:r w:rsidR="0000206C" w:rsidRPr="00342B16">
        <w:t xml:space="preserve"> No, faculty ballots for promotion and tenure are not secret. Faculty members are required to sign and date the ballots as described in Academic Affairs P&amp;T guidelines. </w:t>
      </w:r>
    </w:p>
    <w:p w14:paraId="13B23A09" w14:textId="77777777" w:rsidR="00AC138F" w:rsidRPr="00342B16" w:rsidRDefault="00AC138F" w:rsidP="006747FA"/>
    <w:p w14:paraId="3D567BD3" w14:textId="77777777" w:rsidR="00302BAA" w:rsidRPr="00342B16" w:rsidRDefault="00302BAA" w:rsidP="006747FA">
      <w:pPr>
        <w:rPr>
          <w:b/>
          <w:bCs/>
        </w:rPr>
      </w:pPr>
    </w:p>
    <w:p w14:paraId="45D8BAB9" w14:textId="73E1ED38" w:rsidR="00AC138F" w:rsidRPr="00342B16" w:rsidRDefault="00AC138F" w:rsidP="006747FA">
      <w:pPr>
        <w:rPr>
          <w:b/>
          <w:bCs/>
        </w:rPr>
      </w:pPr>
      <w:r w:rsidRPr="00342B16">
        <w:rPr>
          <w:b/>
          <w:bCs/>
        </w:rPr>
        <w:t xml:space="preserve">Q. What other </w:t>
      </w:r>
      <w:r w:rsidR="00302BAA" w:rsidRPr="00342B16">
        <w:rPr>
          <w:b/>
          <w:bCs/>
        </w:rPr>
        <w:t>advice</w:t>
      </w:r>
      <w:r w:rsidRPr="00342B16">
        <w:rPr>
          <w:b/>
          <w:bCs/>
        </w:rPr>
        <w:t xml:space="preserve"> do you have for candidates? </w:t>
      </w:r>
    </w:p>
    <w:p w14:paraId="2650B64B" w14:textId="77777777" w:rsidR="00AC138F" w:rsidRPr="00342B16" w:rsidRDefault="00AC138F" w:rsidP="006747FA"/>
    <w:p w14:paraId="49310A8F" w14:textId="7463DF7D" w:rsidR="00AC138F" w:rsidRPr="00342B16" w:rsidRDefault="00AC138F" w:rsidP="00AC138F">
      <w:r w:rsidRPr="00342B16">
        <w:t xml:space="preserve">A: We (SOE P&amp;T committee members) are glad you asked. Below are two general recommendations we have from observations and concerns that surfaced during the deliberations of the SOE P&amp;T committee during the past few years. We want to share these recommendations with you </w:t>
      </w:r>
      <w:proofErr w:type="gramStart"/>
      <w:r w:rsidRPr="00342B16">
        <w:t>in order to</w:t>
      </w:r>
      <w:proofErr w:type="gramEnd"/>
      <w:r w:rsidRPr="00342B16">
        <w:t xml:space="preserve"> ensure a smooth and fair evaluation of your dossier.</w:t>
      </w:r>
    </w:p>
    <w:p w14:paraId="796EE570" w14:textId="77777777" w:rsidR="00AC138F" w:rsidRPr="00342B16" w:rsidRDefault="00AC138F" w:rsidP="00AC138F"/>
    <w:p w14:paraId="2E65038F" w14:textId="77777777" w:rsidR="00AC138F" w:rsidRPr="00342B16" w:rsidRDefault="00AC138F" w:rsidP="00AC138F">
      <w:pPr>
        <w:pStyle w:val="ListParagraph"/>
        <w:numPr>
          <w:ilvl w:val="0"/>
          <w:numId w:val="9"/>
        </w:numPr>
      </w:pPr>
      <w:r w:rsidRPr="00342B16">
        <w:t xml:space="preserve">The substance of the Dossier is the basis for the Committee’s deliberations.  Attempts to pad the list of accomplishments or to overwhelm the reviewers with voluminous additions to the Dossier are </w:t>
      </w:r>
      <w:proofErr w:type="gramStart"/>
      <w:r w:rsidRPr="00342B16">
        <w:t>actually counterproductive</w:t>
      </w:r>
      <w:proofErr w:type="gramEnd"/>
      <w:r w:rsidRPr="00342B16">
        <w:t xml:space="preserve"> and undermine the credibility of the candidates.</w:t>
      </w:r>
    </w:p>
    <w:p w14:paraId="744640D0" w14:textId="77777777" w:rsidR="00AC138F" w:rsidRPr="00342B16" w:rsidRDefault="00AC138F" w:rsidP="00AC138F">
      <w:pPr>
        <w:pStyle w:val="ListParagraph"/>
      </w:pPr>
    </w:p>
    <w:p w14:paraId="463170C9" w14:textId="6AC986EC" w:rsidR="00AC138F" w:rsidRPr="00342B16" w:rsidRDefault="00AC138F" w:rsidP="00AC138F">
      <w:pPr>
        <w:pStyle w:val="ListParagraph"/>
        <w:numPr>
          <w:ilvl w:val="0"/>
          <w:numId w:val="9"/>
        </w:numPr>
      </w:pPr>
      <w:r w:rsidRPr="00342B16">
        <w:t>The Committee will scrutinize the list of reviewers and their relation to the candidate.  The candidate should not suggest, and the department should not solicit reviewers who may have a conflict of interest with the candidate.</w:t>
      </w:r>
    </w:p>
    <w:p w14:paraId="7717D6CA" w14:textId="71C0A75B" w:rsidR="00AC138F" w:rsidRPr="00342B16" w:rsidRDefault="00AC138F" w:rsidP="006747FA"/>
    <w:sectPr w:rsidR="00AC138F" w:rsidRPr="00342B16" w:rsidSect="00876814">
      <w:headerReference w:type="default" r:id="rId16"/>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AC021" w14:textId="77777777" w:rsidR="000A7E29" w:rsidRDefault="000A7E29" w:rsidP="00C549A4">
      <w:r>
        <w:separator/>
      </w:r>
    </w:p>
  </w:endnote>
  <w:endnote w:type="continuationSeparator" w:id="0">
    <w:p w14:paraId="2D591B37" w14:textId="77777777" w:rsidR="000A7E29" w:rsidRDefault="000A7E29" w:rsidP="00C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64BCB" w14:textId="77777777" w:rsidR="000A7E29" w:rsidRDefault="000A7E29" w:rsidP="00C549A4">
      <w:r>
        <w:separator/>
      </w:r>
    </w:p>
  </w:footnote>
  <w:footnote w:type="continuationSeparator" w:id="0">
    <w:p w14:paraId="580CED48" w14:textId="77777777" w:rsidR="000A7E29" w:rsidRDefault="000A7E29" w:rsidP="00C54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0CEB4" w14:textId="4CD01E80" w:rsidR="00C549A4" w:rsidRDefault="00C549A4" w:rsidP="00876814">
    <w:pPr>
      <w:pStyle w:val="Header"/>
      <w:ind w:left="-360"/>
    </w:pPr>
    <w:r>
      <w:rPr>
        <w:noProof/>
      </w:rPr>
      <w:drawing>
        <wp:inline distT="0" distB="0" distL="0" distR="0" wp14:anchorId="672F003F" wp14:editId="1129525F">
          <wp:extent cx="3505200" cy="914400"/>
          <wp:effectExtent l="0" t="0" r="0" b="0"/>
          <wp:docPr id="1889444538" name="Picture 1889444538" descr="UNM_SchoolofEngineering_Horiz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M_SchoolofEngineering_Horizonta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04588"/>
    <w:multiLevelType w:val="hybridMultilevel"/>
    <w:tmpl w:val="45948AFC"/>
    <w:lvl w:ilvl="0" w:tplc="5B505FEC">
      <w:start w:val="1"/>
      <w:numFmt w:val="bullet"/>
      <w:lvlText w:val="•"/>
      <w:lvlJc w:val="left"/>
      <w:pPr>
        <w:tabs>
          <w:tab w:val="num" w:pos="720"/>
        </w:tabs>
        <w:ind w:left="720" w:hanging="360"/>
      </w:pPr>
      <w:rPr>
        <w:rFonts w:ascii="Arial" w:hAnsi="Arial" w:hint="default"/>
      </w:rPr>
    </w:lvl>
    <w:lvl w:ilvl="1" w:tplc="5E6006E2">
      <w:start w:val="1"/>
      <w:numFmt w:val="bullet"/>
      <w:lvlText w:val="•"/>
      <w:lvlJc w:val="left"/>
      <w:pPr>
        <w:tabs>
          <w:tab w:val="num" w:pos="1440"/>
        </w:tabs>
        <w:ind w:left="1440" w:hanging="360"/>
      </w:pPr>
      <w:rPr>
        <w:rFonts w:ascii="Arial" w:hAnsi="Arial" w:hint="default"/>
      </w:rPr>
    </w:lvl>
    <w:lvl w:ilvl="2" w:tplc="89A28A74" w:tentative="1">
      <w:start w:val="1"/>
      <w:numFmt w:val="bullet"/>
      <w:lvlText w:val="•"/>
      <w:lvlJc w:val="left"/>
      <w:pPr>
        <w:tabs>
          <w:tab w:val="num" w:pos="2160"/>
        </w:tabs>
        <w:ind w:left="2160" w:hanging="360"/>
      </w:pPr>
      <w:rPr>
        <w:rFonts w:ascii="Arial" w:hAnsi="Arial" w:hint="default"/>
      </w:rPr>
    </w:lvl>
    <w:lvl w:ilvl="3" w:tplc="FA0A0978" w:tentative="1">
      <w:start w:val="1"/>
      <w:numFmt w:val="bullet"/>
      <w:lvlText w:val="•"/>
      <w:lvlJc w:val="left"/>
      <w:pPr>
        <w:tabs>
          <w:tab w:val="num" w:pos="2880"/>
        </w:tabs>
        <w:ind w:left="2880" w:hanging="360"/>
      </w:pPr>
      <w:rPr>
        <w:rFonts w:ascii="Arial" w:hAnsi="Arial" w:hint="default"/>
      </w:rPr>
    </w:lvl>
    <w:lvl w:ilvl="4" w:tplc="A4142680" w:tentative="1">
      <w:start w:val="1"/>
      <w:numFmt w:val="bullet"/>
      <w:lvlText w:val="•"/>
      <w:lvlJc w:val="left"/>
      <w:pPr>
        <w:tabs>
          <w:tab w:val="num" w:pos="3600"/>
        </w:tabs>
        <w:ind w:left="3600" w:hanging="360"/>
      </w:pPr>
      <w:rPr>
        <w:rFonts w:ascii="Arial" w:hAnsi="Arial" w:hint="default"/>
      </w:rPr>
    </w:lvl>
    <w:lvl w:ilvl="5" w:tplc="42CA8B3C" w:tentative="1">
      <w:start w:val="1"/>
      <w:numFmt w:val="bullet"/>
      <w:lvlText w:val="•"/>
      <w:lvlJc w:val="left"/>
      <w:pPr>
        <w:tabs>
          <w:tab w:val="num" w:pos="4320"/>
        </w:tabs>
        <w:ind w:left="4320" w:hanging="360"/>
      </w:pPr>
      <w:rPr>
        <w:rFonts w:ascii="Arial" w:hAnsi="Arial" w:hint="default"/>
      </w:rPr>
    </w:lvl>
    <w:lvl w:ilvl="6" w:tplc="E1C872F0" w:tentative="1">
      <w:start w:val="1"/>
      <w:numFmt w:val="bullet"/>
      <w:lvlText w:val="•"/>
      <w:lvlJc w:val="left"/>
      <w:pPr>
        <w:tabs>
          <w:tab w:val="num" w:pos="5040"/>
        </w:tabs>
        <w:ind w:left="5040" w:hanging="360"/>
      </w:pPr>
      <w:rPr>
        <w:rFonts w:ascii="Arial" w:hAnsi="Arial" w:hint="default"/>
      </w:rPr>
    </w:lvl>
    <w:lvl w:ilvl="7" w:tplc="00B206D8" w:tentative="1">
      <w:start w:val="1"/>
      <w:numFmt w:val="bullet"/>
      <w:lvlText w:val="•"/>
      <w:lvlJc w:val="left"/>
      <w:pPr>
        <w:tabs>
          <w:tab w:val="num" w:pos="5760"/>
        </w:tabs>
        <w:ind w:left="5760" w:hanging="360"/>
      </w:pPr>
      <w:rPr>
        <w:rFonts w:ascii="Arial" w:hAnsi="Arial" w:hint="default"/>
      </w:rPr>
    </w:lvl>
    <w:lvl w:ilvl="8" w:tplc="F626B3B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AC3683"/>
    <w:multiLevelType w:val="hybridMultilevel"/>
    <w:tmpl w:val="830AAF36"/>
    <w:lvl w:ilvl="0" w:tplc="F9A85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7F28C9"/>
    <w:multiLevelType w:val="hybridMultilevel"/>
    <w:tmpl w:val="A9ACD1C8"/>
    <w:lvl w:ilvl="0" w:tplc="9AE81B16">
      <w:start w:val="1"/>
      <w:numFmt w:val="bullet"/>
      <w:lvlText w:val="•"/>
      <w:lvlJc w:val="left"/>
      <w:pPr>
        <w:tabs>
          <w:tab w:val="num" w:pos="720"/>
        </w:tabs>
        <w:ind w:left="720" w:hanging="360"/>
      </w:pPr>
      <w:rPr>
        <w:rFonts w:ascii="Arial" w:hAnsi="Arial" w:hint="default"/>
      </w:rPr>
    </w:lvl>
    <w:lvl w:ilvl="1" w:tplc="9CEA68A6">
      <w:start w:val="1"/>
      <w:numFmt w:val="bullet"/>
      <w:lvlText w:val="•"/>
      <w:lvlJc w:val="left"/>
      <w:pPr>
        <w:tabs>
          <w:tab w:val="num" w:pos="1440"/>
        </w:tabs>
        <w:ind w:left="1440" w:hanging="360"/>
      </w:pPr>
      <w:rPr>
        <w:rFonts w:ascii="Arial" w:hAnsi="Arial" w:hint="default"/>
      </w:rPr>
    </w:lvl>
    <w:lvl w:ilvl="2" w:tplc="2612F22E" w:tentative="1">
      <w:start w:val="1"/>
      <w:numFmt w:val="bullet"/>
      <w:lvlText w:val="•"/>
      <w:lvlJc w:val="left"/>
      <w:pPr>
        <w:tabs>
          <w:tab w:val="num" w:pos="2160"/>
        </w:tabs>
        <w:ind w:left="2160" w:hanging="360"/>
      </w:pPr>
      <w:rPr>
        <w:rFonts w:ascii="Arial" w:hAnsi="Arial" w:hint="default"/>
      </w:rPr>
    </w:lvl>
    <w:lvl w:ilvl="3" w:tplc="6248D988" w:tentative="1">
      <w:start w:val="1"/>
      <w:numFmt w:val="bullet"/>
      <w:lvlText w:val="•"/>
      <w:lvlJc w:val="left"/>
      <w:pPr>
        <w:tabs>
          <w:tab w:val="num" w:pos="2880"/>
        </w:tabs>
        <w:ind w:left="2880" w:hanging="360"/>
      </w:pPr>
      <w:rPr>
        <w:rFonts w:ascii="Arial" w:hAnsi="Arial" w:hint="default"/>
      </w:rPr>
    </w:lvl>
    <w:lvl w:ilvl="4" w:tplc="E9AE7190" w:tentative="1">
      <w:start w:val="1"/>
      <w:numFmt w:val="bullet"/>
      <w:lvlText w:val="•"/>
      <w:lvlJc w:val="left"/>
      <w:pPr>
        <w:tabs>
          <w:tab w:val="num" w:pos="3600"/>
        </w:tabs>
        <w:ind w:left="3600" w:hanging="360"/>
      </w:pPr>
      <w:rPr>
        <w:rFonts w:ascii="Arial" w:hAnsi="Arial" w:hint="default"/>
      </w:rPr>
    </w:lvl>
    <w:lvl w:ilvl="5" w:tplc="2EBE85E8" w:tentative="1">
      <w:start w:val="1"/>
      <w:numFmt w:val="bullet"/>
      <w:lvlText w:val="•"/>
      <w:lvlJc w:val="left"/>
      <w:pPr>
        <w:tabs>
          <w:tab w:val="num" w:pos="4320"/>
        </w:tabs>
        <w:ind w:left="4320" w:hanging="360"/>
      </w:pPr>
      <w:rPr>
        <w:rFonts w:ascii="Arial" w:hAnsi="Arial" w:hint="default"/>
      </w:rPr>
    </w:lvl>
    <w:lvl w:ilvl="6" w:tplc="8110B2C0" w:tentative="1">
      <w:start w:val="1"/>
      <w:numFmt w:val="bullet"/>
      <w:lvlText w:val="•"/>
      <w:lvlJc w:val="left"/>
      <w:pPr>
        <w:tabs>
          <w:tab w:val="num" w:pos="5040"/>
        </w:tabs>
        <w:ind w:left="5040" w:hanging="360"/>
      </w:pPr>
      <w:rPr>
        <w:rFonts w:ascii="Arial" w:hAnsi="Arial" w:hint="default"/>
      </w:rPr>
    </w:lvl>
    <w:lvl w:ilvl="7" w:tplc="DF3A42B0" w:tentative="1">
      <w:start w:val="1"/>
      <w:numFmt w:val="bullet"/>
      <w:lvlText w:val="•"/>
      <w:lvlJc w:val="left"/>
      <w:pPr>
        <w:tabs>
          <w:tab w:val="num" w:pos="5760"/>
        </w:tabs>
        <w:ind w:left="5760" w:hanging="360"/>
      </w:pPr>
      <w:rPr>
        <w:rFonts w:ascii="Arial" w:hAnsi="Arial" w:hint="default"/>
      </w:rPr>
    </w:lvl>
    <w:lvl w:ilvl="8" w:tplc="AFA4CF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6C5C23"/>
    <w:multiLevelType w:val="hybridMultilevel"/>
    <w:tmpl w:val="DC2AD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A79D4"/>
    <w:multiLevelType w:val="hybridMultilevel"/>
    <w:tmpl w:val="0EE029B2"/>
    <w:lvl w:ilvl="0" w:tplc="F300E31E">
      <w:start w:val="1"/>
      <w:numFmt w:val="bullet"/>
      <w:lvlText w:val="•"/>
      <w:lvlJc w:val="left"/>
      <w:pPr>
        <w:tabs>
          <w:tab w:val="num" w:pos="720"/>
        </w:tabs>
        <w:ind w:left="720" w:hanging="360"/>
      </w:pPr>
      <w:rPr>
        <w:rFonts w:ascii="Arial" w:hAnsi="Arial" w:hint="default"/>
      </w:rPr>
    </w:lvl>
    <w:lvl w:ilvl="1" w:tplc="B4EC3050">
      <w:numFmt w:val="bullet"/>
      <w:lvlText w:val="•"/>
      <w:lvlJc w:val="left"/>
      <w:pPr>
        <w:tabs>
          <w:tab w:val="num" w:pos="1440"/>
        </w:tabs>
        <w:ind w:left="1440" w:hanging="360"/>
      </w:pPr>
      <w:rPr>
        <w:rFonts w:ascii="Arial" w:hAnsi="Arial" w:hint="default"/>
      </w:rPr>
    </w:lvl>
    <w:lvl w:ilvl="2" w:tplc="BA141DD8" w:tentative="1">
      <w:start w:val="1"/>
      <w:numFmt w:val="bullet"/>
      <w:lvlText w:val="•"/>
      <w:lvlJc w:val="left"/>
      <w:pPr>
        <w:tabs>
          <w:tab w:val="num" w:pos="2160"/>
        </w:tabs>
        <w:ind w:left="2160" w:hanging="360"/>
      </w:pPr>
      <w:rPr>
        <w:rFonts w:ascii="Arial" w:hAnsi="Arial" w:hint="default"/>
      </w:rPr>
    </w:lvl>
    <w:lvl w:ilvl="3" w:tplc="2CC83C4A" w:tentative="1">
      <w:start w:val="1"/>
      <w:numFmt w:val="bullet"/>
      <w:lvlText w:val="•"/>
      <w:lvlJc w:val="left"/>
      <w:pPr>
        <w:tabs>
          <w:tab w:val="num" w:pos="2880"/>
        </w:tabs>
        <w:ind w:left="2880" w:hanging="360"/>
      </w:pPr>
      <w:rPr>
        <w:rFonts w:ascii="Arial" w:hAnsi="Arial" w:hint="default"/>
      </w:rPr>
    </w:lvl>
    <w:lvl w:ilvl="4" w:tplc="3258C29C" w:tentative="1">
      <w:start w:val="1"/>
      <w:numFmt w:val="bullet"/>
      <w:lvlText w:val="•"/>
      <w:lvlJc w:val="left"/>
      <w:pPr>
        <w:tabs>
          <w:tab w:val="num" w:pos="3600"/>
        </w:tabs>
        <w:ind w:left="3600" w:hanging="360"/>
      </w:pPr>
      <w:rPr>
        <w:rFonts w:ascii="Arial" w:hAnsi="Arial" w:hint="default"/>
      </w:rPr>
    </w:lvl>
    <w:lvl w:ilvl="5" w:tplc="7236DACA" w:tentative="1">
      <w:start w:val="1"/>
      <w:numFmt w:val="bullet"/>
      <w:lvlText w:val="•"/>
      <w:lvlJc w:val="left"/>
      <w:pPr>
        <w:tabs>
          <w:tab w:val="num" w:pos="4320"/>
        </w:tabs>
        <w:ind w:left="4320" w:hanging="360"/>
      </w:pPr>
      <w:rPr>
        <w:rFonts w:ascii="Arial" w:hAnsi="Arial" w:hint="default"/>
      </w:rPr>
    </w:lvl>
    <w:lvl w:ilvl="6" w:tplc="13ECA636" w:tentative="1">
      <w:start w:val="1"/>
      <w:numFmt w:val="bullet"/>
      <w:lvlText w:val="•"/>
      <w:lvlJc w:val="left"/>
      <w:pPr>
        <w:tabs>
          <w:tab w:val="num" w:pos="5040"/>
        </w:tabs>
        <w:ind w:left="5040" w:hanging="360"/>
      </w:pPr>
      <w:rPr>
        <w:rFonts w:ascii="Arial" w:hAnsi="Arial" w:hint="default"/>
      </w:rPr>
    </w:lvl>
    <w:lvl w:ilvl="7" w:tplc="FC7CDA54" w:tentative="1">
      <w:start w:val="1"/>
      <w:numFmt w:val="bullet"/>
      <w:lvlText w:val="•"/>
      <w:lvlJc w:val="left"/>
      <w:pPr>
        <w:tabs>
          <w:tab w:val="num" w:pos="5760"/>
        </w:tabs>
        <w:ind w:left="5760" w:hanging="360"/>
      </w:pPr>
      <w:rPr>
        <w:rFonts w:ascii="Arial" w:hAnsi="Arial" w:hint="default"/>
      </w:rPr>
    </w:lvl>
    <w:lvl w:ilvl="8" w:tplc="53AED1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CD81666"/>
    <w:multiLevelType w:val="hybridMultilevel"/>
    <w:tmpl w:val="DB805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9429BF"/>
    <w:multiLevelType w:val="hybridMultilevel"/>
    <w:tmpl w:val="8E12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BD4530"/>
    <w:multiLevelType w:val="hybridMultilevel"/>
    <w:tmpl w:val="E84A0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53159E"/>
    <w:multiLevelType w:val="hybridMultilevel"/>
    <w:tmpl w:val="F884A216"/>
    <w:lvl w:ilvl="0" w:tplc="BF768280">
      <w:start w:val="1"/>
      <w:numFmt w:val="bullet"/>
      <w:lvlText w:val="•"/>
      <w:lvlJc w:val="left"/>
      <w:pPr>
        <w:tabs>
          <w:tab w:val="num" w:pos="720"/>
        </w:tabs>
        <w:ind w:left="720" w:hanging="360"/>
      </w:pPr>
      <w:rPr>
        <w:rFonts w:ascii="Arial" w:hAnsi="Arial" w:hint="default"/>
      </w:rPr>
    </w:lvl>
    <w:lvl w:ilvl="1" w:tplc="07105EFE">
      <w:numFmt w:val="bullet"/>
      <w:lvlText w:val="•"/>
      <w:lvlJc w:val="left"/>
      <w:pPr>
        <w:tabs>
          <w:tab w:val="num" w:pos="1440"/>
        </w:tabs>
        <w:ind w:left="1440" w:hanging="360"/>
      </w:pPr>
      <w:rPr>
        <w:rFonts w:ascii="Arial" w:hAnsi="Arial" w:hint="default"/>
      </w:rPr>
    </w:lvl>
    <w:lvl w:ilvl="2" w:tplc="AB1E3E06" w:tentative="1">
      <w:start w:val="1"/>
      <w:numFmt w:val="bullet"/>
      <w:lvlText w:val="•"/>
      <w:lvlJc w:val="left"/>
      <w:pPr>
        <w:tabs>
          <w:tab w:val="num" w:pos="2160"/>
        </w:tabs>
        <w:ind w:left="2160" w:hanging="360"/>
      </w:pPr>
      <w:rPr>
        <w:rFonts w:ascii="Arial" w:hAnsi="Arial" w:hint="default"/>
      </w:rPr>
    </w:lvl>
    <w:lvl w:ilvl="3" w:tplc="B62E76C6" w:tentative="1">
      <w:start w:val="1"/>
      <w:numFmt w:val="bullet"/>
      <w:lvlText w:val="•"/>
      <w:lvlJc w:val="left"/>
      <w:pPr>
        <w:tabs>
          <w:tab w:val="num" w:pos="2880"/>
        </w:tabs>
        <w:ind w:left="2880" w:hanging="360"/>
      </w:pPr>
      <w:rPr>
        <w:rFonts w:ascii="Arial" w:hAnsi="Arial" w:hint="default"/>
      </w:rPr>
    </w:lvl>
    <w:lvl w:ilvl="4" w:tplc="28489D42" w:tentative="1">
      <w:start w:val="1"/>
      <w:numFmt w:val="bullet"/>
      <w:lvlText w:val="•"/>
      <w:lvlJc w:val="left"/>
      <w:pPr>
        <w:tabs>
          <w:tab w:val="num" w:pos="3600"/>
        </w:tabs>
        <w:ind w:left="3600" w:hanging="360"/>
      </w:pPr>
      <w:rPr>
        <w:rFonts w:ascii="Arial" w:hAnsi="Arial" w:hint="default"/>
      </w:rPr>
    </w:lvl>
    <w:lvl w:ilvl="5" w:tplc="92FEAFDE" w:tentative="1">
      <w:start w:val="1"/>
      <w:numFmt w:val="bullet"/>
      <w:lvlText w:val="•"/>
      <w:lvlJc w:val="left"/>
      <w:pPr>
        <w:tabs>
          <w:tab w:val="num" w:pos="4320"/>
        </w:tabs>
        <w:ind w:left="4320" w:hanging="360"/>
      </w:pPr>
      <w:rPr>
        <w:rFonts w:ascii="Arial" w:hAnsi="Arial" w:hint="default"/>
      </w:rPr>
    </w:lvl>
    <w:lvl w:ilvl="6" w:tplc="73EA4F3A" w:tentative="1">
      <w:start w:val="1"/>
      <w:numFmt w:val="bullet"/>
      <w:lvlText w:val="•"/>
      <w:lvlJc w:val="left"/>
      <w:pPr>
        <w:tabs>
          <w:tab w:val="num" w:pos="5040"/>
        </w:tabs>
        <w:ind w:left="5040" w:hanging="360"/>
      </w:pPr>
      <w:rPr>
        <w:rFonts w:ascii="Arial" w:hAnsi="Arial" w:hint="default"/>
      </w:rPr>
    </w:lvl>
    <w:lvl w:ilvl="7" w:tplc="D818A0DE" w:tentative="1">
      <w:start w:val="1"/>
      <w:numFmt w:val="bullet"/>
      <w:lvlText w:val="•"/>
      <w:lvlJc w:val="left"/>
      <w:pPr>
        <w:tabs>
          <w:tab w:val="num" w:pos="5760"/>
        </w:tabs>
        <w:ind w:left="5760" w:hanging="360"/>
      </w:pPr>
      <w:rPr>
        <w:rFonts w:ascii="Arial" w:hAnsi="Arial" w:hint="default"/>
      </w:rPr>
    </w:lvl>
    <w:lvl w:ilvl="8" w:tplc="155CE626" w:tentative="1">
      <w:start w:val="1"/>
      <w:numFmt w:val="bullet"/>
      <w:lvlText w:val="•"/>
      <w:lvlJc w:val="left"/>
      <w:pPr>
        <w:tabs>
          <w:tab w:val="num" w:pos="6480"/>
        </w:tabs>
        <w:ind w:left="6480" w:hanging="360"/>
      </w:pPr>
      <w:rPr>
        <w:rFonts w:ascii="Arial" w:hAnsi="Arial" w:hint="default"/>
      </w:rPr>
    </w:lvl>
  </w:abstractNum>
  <w:num w:numId="1" w16cid:durableId="2066485878">
    <w:abstractNumId w:val="4"/>
  </w:num>
  <w:num w:numId="2" w16cid:durableId="1690833218">
    <w:abstractNumId w:val="1"/>
  </w:num>
  <w:num w:numId="3" w16cid:durableId="1127356330">
    <w:abstractNumId w:val="0"/>
  </w:num>
  <w:num w:numId="4" w16cid:durableId="489833414">
    <w:abstractNumId w:val="8"/>
  </w:num>
  <w:num w:numId="5" w16cid:durableId="1466696421">
    <w:abstractNumId w:val="2"/>
  </w:num>
  <w:num w:numId="6" w16cid:durableId="914438263">
    <w:abstractNumId w:val="7"/>
  </w:num>
  <w:num w:numId="7" w16cid:durableId="1311519555">
    <w:abstractNumId w:val="3"/>
  </w:num>
  <w:num w:numId="8" w16cid:durableId="1651669812">
    <w:abstractNumId w:val="5"/>
  </w:num>
  <w:num w:numId="9" w16cid:durableId="1590798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526"/>
    <w:rsid w:val="0000206C"/>
    <w:rsid w:val="000032A8"/>
    <w:rsid w:val="00015F19"/>
    <w:rsid w:val="00021686"/>
    <w:rsid w:val="00026BE9"/>
    <w:rsid w:val="00027E2B"/>
    <w:rsid w:val="00030F8D"/>
    <w:rsid w:val="00050B92"/>
    <w:rsid w:val="000658F8"/>
    <w:rsid w:val="000734E0"/>
    <w:rsid w:val="000A7E29"/>
    <w:rsid w:val="000C649A"/>
    <w:rsid w:val="000F6127"/>
    <w:rsid w:val="0010527B"/>
    <w:rsid w:val="0011795C"/>
    <w:rsid w:val="00132EBD"/>
    <w:rsid w:val="001353E2"/>
    <w:rsid w:val="001F3023"/>
    <w:rsid w:val="001F3F6B"/>
    <w:rsid w:val="00207100"/>
    <w:rsid w:val="00252D8A"/>
    <w:rsid w:val="002673CE"/>
    <w:rsid w:val="00275029"/>
    <w:rsid w:val="00287006"/>
    <w:rsid w:val="002F0A78"/>
    <w:rsid w:val="00302BAA"/>
    <w:rsid w:val="00312B9B"/>
    <w:rsid w:val="003260A2"/>
    <w:rsid w:val="00342B16"/>
    <w:rsid w:val="00346943"/>
    <w:rsid w:val="00356A3A"/>
    <w:rsid w:val="0036307D"/>
    <w:rsid w:val="00377C70"/>
    <w:rsid w:val="003A63BE"/>
    <w:rsid w:val="003B493B"/>
    <w:rsid w:val="003B4B1D"/>
    <w:rsid w:val="003B6900"/>
    <w:rsid w:val="003D0C35"/>
    <w:rsid w:val="003D1559"/>
    <w:rsid w:val="00415528"/>
    <w:rsid w:val="00433333"/>
    <w:rsid w:val="00445AC1"/>
    <w:rsid w:val="00462BDC"/>
    <w:rsid w:val="0049164F"/>
    <w:rsid w:val="004B6820"/>
    <w:rsid w:val="004C28F6"/>
    <w:rsid w:val="004D5C2E"/>
    <w:rsid w:val="004E1B32"/>
    <w:rsid w:val="00502504"/>
    <w:rsid w:val="005044D9"/>
    <w:rsid w:val="00585998"/>
    <w:rsid w:val="005D3210"/>
    <w:rsid w:val="00616D67"/>
    <w:rsid w:val="00643382"/>
    <w:rsid w:val="00664748"/>
    <w:rsid w:val="00671271"/>
    <w:rsid w:val="006747FA"/>
    <w:rsid w:val="006B1FF6"/>
    <w:rsid w:val="007071B9"/>
    <w:rsid w:val="00727914"/>
    <w:rsid w:val="007914DD"/>
    <w:rsid w:val="007A673B"/>
    <w:rsid w:val="007B2F2E"/>
    <w:rsid w:val="007D12D0"/>
    <w:rsid w:val="00876814"/>
    <w:rsid w:val="00876C54"/>
    <w:rsid w:val="0088032E"/>
    <w:rsid w:val="00885526"/>
    <w:rsid w:val="008968B8"/>
    <w:rsid w:val="008D780E"/>
    <w:rsid w:val="008F19E1"/>
    <w:rsid w:val="009010AF"/>
    <w:rsid w:val="0092711B"/>
    <w:rsid w:val="009C29B5"/>
    <w:rsid w:val="009C3A6F"/>
    <w:rsid w:val="00A25131"/>
    <w:rsid w:val="00A25420"/>
    <w:rsid w:val="00A5173F"/>
    <w:rsid w:val="00AA314F"/>
    <w:rsid w:val="00AC138F"/>
    <w:rsid w:val="00AC4F19"/>
    <w:rsid w:val="00B073F5"/>
    <w:rsid w:val="00B57833"/>
    <w:rsid w:val="00B625A0"/>
    <w:rsid w:val="00B93E28"/>
    <w:rsid w:val="00BA037D"/>
    <w:rsid w:val="00BD2880"/>
    <w:rsid w:val="00BF39C0"/>
    <w:rsid w:val="00BF679D"/>
    <w:rsid w:val="00C141F1"/>
    <w:rsid w:val="00C1611E"/>
    <w:rsid w:val="00C339FB"/>
    <w:rsid w:val="00C549A4"/>
    <w:rsid w:val="00C76B5F"/>
    <w:rsid w:val="00C81655"/>
    <w:rsid w:val="00C857F1"/>
    <w:rsid w:val="00CA17AB"/>
    <w:rsid w:val="00CB231B"/>
    <w:rsid w:val="00CD61B5"/>
    <w:rsid w:val="00CE0689"/>
    <w:rsid w:val="00D02A1F"/>
    <w:rsid w:val="00D05E15"/>
    <w:rsid w:val="00D47EFB"/>
    <w:rsid w:val="00D52409"/>
    <w:rsid w:val="00D5661D"/>
    <w:rsid w:val="00D679A9"/>
    <w:rsid w:val="00D756F6"/>
    <w:rsid w:val="00D8080C"/>
    <w:rsid w:val="00DA0E72"/>
    <w:rsid w:val="00DB298C"/>
    <w:rsid w:val="00DC5859"/>
    <w:rsid w:val="00DC6C79"/>
    <w:rsid w:val="00DD2B8E"/>
    <w:rsid w:val="00DF1740"/>
    <w:rsid w:val="00DF7B31"/>
    <w:rsid w:val="00E10964"/>
    <w:rsid w:val="00E137DC"/>
    <w:rsid w:val="00E13B13"/>
    <w:rsid w:val="00E505DA"/>
    <w:rsid w:val="00E81DA7"/>
    <w:rsid w:val="00EB5536"/>
    <w:rsid w:val="00EE6D49"/>
    <w:rsid w:val="00F04574"/>
    <w:rsid w:val="00F31504"/>
    <w:rsid w:val="00F46F94"/>
    <w:rsid w:val="00F528D7"/>
    <w:rsid w:val="00F61571"/>
    <w:rsid w:val="00F74225"/>
    <w:rsid w:val="00F837BD"/>
    <w:rsid w:val="00F90500"/>
    <w:rsid w:val="00FA249E"/>
    <w:rsid w:val="00FC1012"/>
    <w:rsid w:val="00FC6E04"/>
    <w:rsid w:val="00FD34DF"/>
    <w:rsid w:val="00FE1BAA"/>
    <w:rsid w:val="00FE4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82B5"/>
  <w15:chartTrackingRefBased/>
  <w15:docId w15:val="{CE501D05-C47C-7043-8DD2-89CCE429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73F"/>
    <w:rPr>
      <w:rFonts w:ascii="Times New Roman" w:eastAsia="Times New Roman" w:hAnsi="Times New Roman" w:cs="Times New Roman"/>
    </w:rPr>
  </w:style>
  <w:style w:type="paragraph" w:styleId="Heading4">
    <w:name w:val="heading 4"/>
    <w:basedOn w:val="Normal"/>
    <w:next w:val="Normal"/>
    <w:link w:val="Heading4Char"/>
    <w:uiPriority w:val="9"/>
    <w:semiHidden/>
    <w:unhideWhenUsed/>
    <w:qFormat/>
    <w:rsid w:val="00D5661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795C"/>
    <w:pPr>
      <w:spacing w:before="100" w:beforeAutospacing="1" w:after="100" w:afterAutospacing="1"/>
    </w:pPr>
  </w:style>
  <w:style w:type="character" w:styleId="Hyperlink">
    <w:name w:val="Hyperlink"/>
    <w:basedOn w:val="DefaultParagraphFont"/>
    <w:uiPriority w:val="99"/>
    <w:unhideWhenUsed/>
    <w:rsid w:val="004B6820"/>
    <w:rPr>
      <w:color w:val="0563C1" w:themeColor="hyperlink"/>
      <w:u w:val="single"/>
    </w:rPr>
  </w:style>
  <w:style w:type="character" w:styleId="UnresolvedMention">
    <w:name w:val="Unresolved Mention"/>
    <w:basedOn w:val="DefaultParagraphFont"/>
    <w:uiPriority w:val="99"/>
    <w:semiHidden/>
    <w:unhideWhenUsed/>
    <w:rsid w:val="004B6820"/>
    <w:rPr>
      <w:color w:val="605E5C"/>
      <w:shd w:val="clear" w:color="auto" w:fill="E1DFDD"/>
    </w:rPr>
  </w:style>
  <w:style w:type="character" w:styleId="FollowedHyperlink">
    <w:name w:val="FollowedHyperlink"/>
    <w:basedOn w:val="DefaultParagraphFont"/>
    <w:uiPriority w:val="99"/>
    <w:semiHidden/>
    <w:unhideWhenUsed/>
    <w:rsid w:val="00B073F5"/>
    <w:rPr>
      <w:color w:val="954F72" w:themeColor="followedHyperlink"/>
      <w:u w:val="single"/>
    </w:rPr>
  </w:style>
  <w:style w:type="paragraph" w:styleId="ListParagraph">
    <w:name w:val="List Paragraph"/>
    <w:basedOn w:val="Normal"/>
    <w:uiPriority w:val="34"/>
    <w:qFormat/>
    <w:rsid w:val="006B1FF6"/>
    <w:pPr>
      <w:ind w:left="720"/>
      <w:contextualSpacing/>
    </w:pPr>
  </w:style>
  <w:style w:type="paragraph" w:styleId="Header">
    <w:name w:val="header"/>
    <w:basedOn w:val="Normal"/>
    <w:link w:val="HeaderChar"/>
    <w:uiPriority w:val="99"/>
    <w:unhideWhenUsed/>
    <w:rsid w:val="00C549A4"/>
    <w:pPr>
      <w:tabs>
        <w:tab w:val="center" w:pos="4680"/>
        <w:tab w:val="right" w:pos="9360"/>
      </w:tabs>
    </w:pPr>
  </w:style>
  <w:style w:type="character" w:customStyle="1" w:styleId="HeaderChar">
    <w:name w:val="Header Char"/>
    <w:basedOn w:val="DefaultParagraphFont"/>
    <w:link w:val="Header"/>
    <w:uiPriority w:val="99"/>
    <w:rsid w:val="00C549A4"/>
    <w:rPr>
      <w:rFonts w:ascii="Times New Roman" w:eastAsia="Times New Roman" w:hAnsi="Times New Roman" w:cs="Times New Roman"/>
    </w:rPr>
  </w:style>
  <w:style w:type="paragraph" w:styleId="Footer">
    <w:name w:val="footer"/>
    <w:basedOn w:val="Normal"/>
    <w:link w:val="FooterChar"/>
    <w:uiPriority w:val="99"/>
    <w:unhideWhenUsed/>
    <w:rsid w:val="00C549A4"/>
    <w:pPr>
      <w:tabs>
        <w:tab w:val="center" w:pos="4680"/>
        <w:tab w:val="right" w:pos="9360"/>
      </w:tabs>
    </w:pPr>
  </w:style>
  <w:style w:type="character" w:customStyle="1" w:styleId="FooterChar">
    <w:name w:val="Footer Char"/>
    <w:basedOn w:val="DefaultParagraphFont"/>
    <w:link w:val="Footer"/>
    <w:uiPriority w:val="99"/>
    <w:rsid w:val="00C549A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C4F19"/>
    <w:rPr>
      <w:sz w:val="16"/>
      <w:szCs w:val="16"/>
    </w:rPr>
  </w:style>
  <w:style w:type="paragraph" w:styleId="CommentText">
    <w:name w:val="annotation text"/>
    <w:basedOn w:val="Normal"/>
    <w:link w:val="CommentTextChar"/>
    <w:uiPriority w:val="99"/>
    <w:semiHidden/>
    <w:unhideWhenUsed/>
    <w:rsid w:val="00AC4F19"/>
    <w:rPr>
      <w:sz w:val="20"/>
      <w:szCs w:val="20"/>
    </w:rPr>
  </w:style>
  <w:style w:type="character" w:customStyle="1" w:styleId="CommentTextChar">
    <w:name w:val="Comment Text Char"/>
    <w:basedOn w:val="DefaultParagraphFont"/>
    <w:link w:val="CommentText"/>
    <w:uiPriority w:val="99"/>
    <w:semiHidden/>
    <w:rsid w:val="00AC4F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4F19"/>
    <w:rPr>
      <w:b/>
      <w:bCs/>
    </w:rPr>
  </w:style>
  <w:style w:type="character" w:customStyle="1" w:styleId="CommentSubjectChar">
    <w:name w:val="Comment Subject Char"/>
    <w:basedOn w:val="CommentTextChar"/>
    <w:link w:val="CommentSubject"/>
    <w:uiPriority w:val="99"/>
    <w:semiHidden/>
    <w:rsid w:val="00AC4F1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C4F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F19"/>
    <w:rPr>
      <w:rFonts w:ascii="Segoe UI" w:eastAsia="Times New Roman" w:hAnsi="Segoe UI" w:cs="Segoe UI"/>
      <w:sz w:val="18"/>
      <w:szCs w:val="18"/>
    </w:rPr>
  </w:style>
  <w:style w:type="paragraph" w:styleId="Revision">
    <w:name w:val="Revision"/>
    <w:hidden/>
    <w:uiPriority w:val="99"/>
    <w:semiHidden/>
    <w:rsid w:val="00FC6E04"/>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D5661D"/>
    <w:rPr>
      <w:rFonts w:asciiTheme="majorHAnsi" w:eastAsiaTheme="majorEastAsia" w:hAnsiTheme="majorHAnsi" w:cstheme="majorBidi"/>
      <w:i/>
      <w:iCs/>
      <w:color w:val="2F5496" w:themeColor="accent1" w:themeShade="BF"/>
    </w:rPr>
  </w:style>
  <w:style w:type="character" w:styleId="PageNumber">
    <w:name w:val="page number"/>
    <w:basedOn w:val="DefaultParagraphFont"/>
    <w:uiPriority w:val="99"/>
    <w:semiHidden/>
    <w:unhideWhenUsed/>
    <w:rsid w:val="00FC1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98741">
      <w:bodyDiv w:val="1"/>
      <w:marLeft w:val="0"/>
      <w:marRight w:val="0"/>
      <w:marTop w:val="0"/>
      <w:marBottom w:val="0"/>
      <w:divBdr>
        <w:top w:val="none" w:sz="0" w:space="0" w:color="auto"/>
        <w:left w:val="none" w:sz="0" w:space="0" w:color="auto"/>
        <w:bottom w:val="none" w:sz="0" w:space="0" w:color="auto"/>
        <w:right w:val="none" w:sz="0" w:space="0" w:color="auto"/>
      </w:divBdr>
    </w:div>
    <w:div w:id="186603959">
      <w:bodyDiv w:val="1"/>
      <w:marLeft w:val="0"/>
      <w:marRight w:val="0"/>
      <w:marTop w:val="0"/>
      <w:marBottom w:val="0"/>
      <w:divBdr>
        <w:top w:val="none" w:sz="0" w:space="0" w:color="auto"/>
        <w:left w:val="none" w:sz="0" w:space="0" w:color="auto"/>
        <w:bottom w:val="none" w:sz="0" w:space="0" w:color="auto"/>
        <w:right w:val="none" w:sz="0" w:space="0" w:color="auto"/>
      </w:divBdr>
    </w:div>
    <w:div w:id="204870989">
      <w:bodyDiv w:val="1"/>
      <w:marLeft w:val="0"/>
      <w:marRight w:val="0"/>
      <w:marTop w:val="0"/>
      <w:marBottom w:val="0"/>
      <w:divBdr>
        <w:top w:val="none" w:sz="0" w:space="0" w:color="auto"/>
        <w:left w:val="none" w:sz="0" w:space="0" w:color="auto"/>
        <w:bottom w:val="none" w:sz="0" w:space="0" w:color="auto"/>
        <w:right w:val="none" w:sz="0" w:space="0" w:color="auto"/>
      </w:divBdr>
      <w:divsChild>
        <w:div w:id="1185561921">
          <w:marLeft w:val="360"/>
          <w:marRight w:val="0"/>
          <w:marTop w:val="200"/>
          <w:marBottom w:val="0"/>
          <w:divBdr>
            <w:top w:val="none" w:sz="0" w:space="0" w:color="auto"/>
            <w:left w:val="none" w:sz="0" w:space="0" w:color="auto"/>
            <w:bottom w:val="none" w:sz="0" w:space="0" w:color="auto"/>
            <w:right w:val="none" w:sz="0" w:space="0" w:color="auto"/>
          </w:divBdr>
        </w:div>
        <w:div w:id="1771045404">
          <w:marLeft w:val="1080"/>
          <w:marRight w:val="0"/>
          <w:marTop w:val="100"/>
          <w:marBottom w:val="0"/>
          <w:divBdr>
            <w:top w:val="none" w:sz="0" w:space="0" w:color="auto"/>
            <w:left w:val="none" w:sz="0" w:space="0" w:color="auto"/>
            <w:bottom w:val="none" w:sz="0" w:space="0" w:color="auto"/>
            <w:right w:val="none" w:sz="0" w:space="0" w:color="auto"/>
          </w:divBdr>
        </w:div>
        <w:div w:id="1900239698">
          <w:marLeft w:val="1080"/>
          <w:marRight w:val="0"/>
          <w:marTop w:val="100"/>
          <w:marBottom w:val="0"/>
          <w:divBdr>
            <w:top w:val="none" w:sz="0" w:space="0" w:color="auto"/>
            <w:left w:val="none" w:sz="0" w:space="0" w:color="auto"/>
            <w:bottom w:val="none" w:sz="0" w:space="0" w:color="auto"/>
            <w:right w:val="none" w:sz="0" w:space="0" w:color="auto"/>
          </w:divBdr>
        </w:div>
        <w:div w:id="700864223">
          <w:marLeft w:val="360"/>
          <w:marRight w:val="0"/>
          <w:marTop w:val="200"/>
          <w:marBottom w:val="0"/>
          <w:divBdr>
            <w:top w:val="none" w:sz="0" w:space="0" w:color="auto"/>
            <w:left w:val="none" w:sz="0" w:space="0" w:color="auto"/>
            <w:bottom w:val="none" w:sz="0" w:space="0" w:color="auto"/>
            <w:right w:val="none" w:sz="0" w:space="0" w:color="auto"/>
          </w:divBdr>
        </w:div>
        <w:div w:id="76708582">
          <w:marLeft w:val="360"/>
          <w:marRight w:val="0"/>
          <w:marTop w:val="200"/>
          <w:marBottom w:val="0"/>
          <w:divBdr>
            <w:top w:val="none" w:sz="0" w:space="0" w:color="auto"/>
            <w:left w:val="none" w:sz="0" w:space="0" w:color="auto"/>
            <w:bottom w:val="none" w:sz="0" w:space="0" w:color="auto"/>
            <w:right w:val="none" w:sz="0" w:space="0" w:color="auto"/>
          </w:divBdr>
        </w:div>
        <w:div w:id="1936985240">
          <w:marLeft w:val="360"/>
          <w:marRight w:val="0"/>
          <w:marTop w:val="200"/>
          <w:marBottom w:val="0"/>
          <w:divBdr>
            <w:top w:val="none" w:sz="0" w:space="0" w:color="auto"/>
            <w:left w:val="none" w:sz="0" w:space="0" w:color="auto"/>
            <w:bottom w:val="none" w:sz="0" w:space="0" w:color="auto"/>
            <w:right w:val="none" w:sz="0" w:space="0" w:color="auto"/>
          </w:divBdr>
        </w:div>
        <w:div w:id="730495308">
          <w:marLeft w:val="1080"/>
          <w:marRight w:val="0"/>
          <w:marTop w:val="100"/>
          <w:marBottom w:val="0"/>
          <w:divBdr>
            <w:top w:val="none" w:sz="0" w:space="0" w:color="auto"/>
            <w:left w:val="none" w:sz="0" w:space="0" w:color="auto"/>
            <w:bottom w:val="none" w:sz="0" w:space="0" w:color="auto"/>
            <w:right w:val="none" w:sz="0" w:space="0" w:color="auto"/>
          </w:divBdr>
        </w:div>
      </w:divsChild>
    </w:div>
    <w:div w:id="217131530">
      <w:bodyDiv w:val="1"/>
      <w:marLeft w:val="0"/>
      <w:marRight w:val="0"/>
      <w:marTop w:val="0"/>
      <w:marBottom w:val="0"/>
      <w:divBdr>
        <w:top w:val="none" w:sz="0" w:space="0" w:color="auto"/>
        <w:left w:val="none" w:sz="0" w:space="0" w:color="auto"/>
        <w:bottom w:val="none" w:sz="0" w:space="0" w:color="auto"/>
        <w:right w:val="none" w:sz="0" w:space="0" w:color="auto"/>
      </w:divBdr>
      <w:divsChild>
        <w:div w:id="984048592">
          <w:marLeft w:val="360"/>
          <w:marRight w:val="0"/>
          <w:marTop w:val="200"/>
          <w:marBottom w:val="0"/>
          <w:divBdr>
            <w:top w:val="none" w:sz="0" w:space="0" w:color="auto"/>
            <w:left w:val="none" w:sz="0" w:space="0" w:color="auto"/>
            <w:bottom w:val="none" w:sz="0" w:space="0" w:color="auto"/>
            <w:right w:val="none" w:sz="0" w:space="0" w:color="auto"/>
          </w:divBdr>
        </w:div>
        <w:div w:id="797573737">
          <w:marLeft w:val="1080"/>
          <w:marRight w:val="0"/>
          <w:marTop w:val="100"/>
          <w:marBottom w:val="0"/>
          <w:divBdr>
            <w:top w:val="none" w:sz="0" w:space="0" w:color="auto"/>
            <w:left w:val="none" w:sz="0" w:space="0" w:color="auto"/>
            <w:bottom w:val="none" w:sz="0" w:space="0" w:color="auto"/>
            <w:right w:val="none" w:sz="0" w:space="0" w:color="auto"/>
          </w:divBdr>
        </w:div>
        <w:div w:id="155414849">
          <w:marLeft w:val="360"/>
          <w:marRight w:val="0"/>
          <w:marTop w:val="200"/>
          <w:marBottom w:val="0"/>
          <w:divBdr>
            <w:top w:val="none" w:sz="0" w:space="0" w:color="auto"/>
            <w:left w:val="none" w:sz="0" w:space="0" w:color="auto"/>
            <w:bottom w:val="none" w:sz="0" w:space="0" w:color="auto"/>
            <w:right w:val="none" w:sz="0" w:space="0" w:color="auto"/>
          </w:divBdr>
        </w:div>
        <w:div w:id="1581601474">
          <w:marLeft w:val="1080"/>
          <w:marRight w:val="0"/>
          <w:marTop w:val="100"/>
          <w:marBottom w:val="0"/>
          <w:divBdr>
            <w:top w:val="none" w:sz="0" w:space="0" w:color="auto"/>
            <w:left w:val="none" w:sz="0" w:space="0" w:color="auto"/>
            <w:bottom w:val="none" w:sz="0" w:space="0" w:color="auto"/>
            <w:right w:val="none" w:sz="0" w:space="0" w:color="auto"/>
          </w:divBdr>
        </w:div>
        <w:div w:id="165830147">
          <w:marLeft w:val="360"/>
          <w:marRight w:val="0"/>
          <w:marTop w:val="200"/>
          <w:marBottom w:val="0"/>
          <w:divBdr>
            <w:top w:val="none" w:sz="0" w:space="0" w:color="auto"/>
            <w:left w:val="none" w:sz="0" w:space="0" w:color="auto"/>
            <w:bottom w:val="none" w:sz="0" w:space="0" w:color="auto"/>
            <w:right w:val="none" w:sz="0" w:space="0" w:color="auto"/>
          </w:divBdr>
        </w:div>
        <w:div w:id="781611963">
          <w:marLeft w:val="1080"/>
          <w:marRight w:val="0"/>
          <w:marTop w:val="100"/>
          <w:marBottom w:val="0"/>
          <w:divBdr>
            <w:top w:val="none" w:sz="0" w:space="0" w:color="auto"/>
            <w:left w:val="none" w:sz="0" w:space="0" w:color="auto"/>
            <w:bottom w:val="none" w:sz="0" w:space="0" w:color="auto"/>
            <w:right w:val="none" w:sz="0" w:space="0" w:color="auto"/>
          </w:divBdr>
        </w:div>
        <w:div w:id="1052653637">
          <w:marLeft w:val="1080"/>
          <w:marRight w:val="0"/>
          <w:marTop w:val="100"/>
          <w:marBottom w:val="0"/>
          <w:divBdr>
            <w:top w:val="none" w:sz="0" w:space="0" w:color="auto"/>
            <w:left w:val="none" w:sz="0" w:space="0" w:color="auto"/>
            <w:bottom w:val="none" w:sz="0" w:space="0" w:color="auto"/>
            <w:right w:val="none" w:sz="0" w:space="0" w:color="auto"/>
          </w:divBdr>
        </w:div>
        <w:div w:id="426926168">
          <w:marLeft w:val="1080"/>
          <w:marRight w:val="0"/>
          <w:marTop w:val="100"/>
          <w:marBottom w:val="0"/>
          <w:divBdr>
            <w:top w:val="none" w:sz="0" w:space="0" w:color="auto"/>
            <w:left w:val="none" w:sz="0" w:space="0" w:color="auto"/>
            <w:bottom w:val="none" w:sz="0" w:space="0" w:color="auto"/>
            <w:right w:val="none" w:sz="0" w:space="0" w:color="auto"/>
          </w:divBdr>
        </w:div>
        <w:div w:id="1891073875">
          <w:marLeft w:val="360"/>
          <w:marRight w:val="0"/>
          <w:marTop w:val="200"/>
          <w:marBottom w:val="0"/>
          <w:divBdr>
            <w:top w:val="none" w:sz="0" w:space="0" w:color="auto"/>
            <w:left w:val="none" w:sz="0" w:space="0" w:color="auto"/>
            <w:bottom w:val="none" w:sz="0" w:space="0" w:color="auto"/>
            <w:right w:val="none" w:sz="0" w:space="0" w:color="auto"/>
          </w:divBdr>
        </w:div>
        <w:div w:id="1904901723">
          <w:marLeft w:val="1080"/>
          <w:marRight w:val="0"/>
          <w:marTop w:val="100"/>
          <w:marBottom w:val="0"/>
          <w:divBdr>
            <w:top w:val="none" w:sz="0" w:space="0" w:color="auto"/>
            <w:left w:val="none" w:sz="0" w:space="0" w:color="auto"/>
            <w:bottom w:val="none" w:sz="0" w:space="0" w:color="auto"/>
            <w:right w:val="none" w:sz="0" w:space="0" w:color="auto"/>
          </w:divBdr>
        </w:div>
        <w:div w:id="714237309">
          <w:marLeft w:val="360"/>
          <w:marRight w:val="0"/>
          <w:marTop w:val="200"/>
          <w:marBottom w:val="0"/>
          <w:divBdr>
            <w:top w:val="none" w:sz="0" w:space="0" w:color="auto"/>
            <w:left w:val="none" w:sz="0" w:space="0" w:color="auto"/>
            <w:bottom w:val="none" w:sz="0" w:space="0" w:color="auto"/>
            <w:right w:val="none" w:sz="0" w:space="0" w:color="auto"/>
          </w:divBdr>
        </w:div>
        <w:div w:id="1893151067">
          <w:marLeft w:val="1080"/>
          <w:marRight w:val="0"/>
          <w:marTop w:val="100"/>
          <w:marBottom w:val="0"/>
          <w:divBdr>
            <w:top w:val="none" w:sz="0" w:space="0" w:color="auto"/>
            <w:left w:val="none" w:sz="0" w:space="0" w:color="auto"/>
            <w:bottom w:val="none" w:sz="0" w:space="0" w:color="auto"/>
            <w:right w:val="none" w:sz="0" w:space="0" w:color="auto"/>
          </w:divBdr>
        </w:div>
      </w:divsChild>
    </w:div>
    <w:div w:id="245845216">
      <w:bodyDiv w:val="1"/>
      <w:marLeft w:val="0"/>
      <w:marRight w:val="0"/>
      <w:marTop w:val="0"/>
      <w:marBottom w:val="0"/>
      <w:divBdr>
        <w:top w:val="none" w:sz="0" w:space="0" w:color="auto"/>
        <w:left w:val="none" w:sz="0" w:space="0" w:color="auto"/>
        <w:bottom w:val="none" w:sz="0" w:space="0" w:color="auto"/>
        <w:right w:val="none" w:sz="0" w:space="0" w:color="auto"/>
      </w:divBdr>
    </w:div>
    <w:div w:id="329332759">
      <w:bodyDiv w:val="1"/>
      <w:marLeft w:val="0"/>
      <w:marRight w:val="0"/>
      <w:marTop w:val="0"/>
      <w:marBottom w:val="0"/>
      <w:divBdr>
        <w:top w:val="none" w:sz="0" w:space="0" w:color="auto"/>
        <w:left w:val="none" w:sz="0" w:space="0" w:color="auto"/>
        <w:bottom w:val="none" w:sz="0" w:space="0" w:color="auto"/>
        <w:right w:val="none" w:sz="0" w:space="0" w:color="auto"/>
      </w:divBdr>
      <w:divsChild>
        <w:div w:id="1625187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595152">
              <w:marLeft w:val="0"/>
              <w:marRight w:val="0"/>
              <w:marTop w:val="0"/>
              <w:marBottom w:val="0"/>
              <w:divBdr>
                <w:top w:val="none" w:sz="0" w:space="0" w:color="auto"/>
                <w:left w:val="none" w:sz="0" w:space="0" w:color="auto"/>
                <w:bottom w:val="none" w:sz="0" w:space="0" w:color="auto"/>
                <w:right w:val="none" w:sz="0" w:space="0" w:color="auto"/>
              </w:divBdr>
              <w:divsChild>
                <w:div w:id="1806048477">
                  <w:marLeft w:val="0"/>
                  <w:marRight w:val="0"/>
                  <w:marTop w:val="0"/>
                  <w:marBottom w:val="0"/>
                  <w:divBdr>
                    <w:top w:val="none" w:sz="0" w:space="0" w:color="auto"/>
                    <w:left w:val="none" w:sz="0" w:space="0" w:color="auto"/>
                    <w:bottom w:val="none" w:sz="0" w:space="0" w:color="auto"/>
                    <w:right w:val="none" w:sz="0" w:space="0" w:color="auto"/>
                  </w:divBdr>
                  <w:divsChild>
                    <w:div w:id="443621164">
                      <w:marLeft w:val="0"/>
                      <w:marRight w:val="0"/>
                      <w:marTop w:val="0"/>
                      <w:marBottom w:val="0"/>
                      <w:divBdr>
                        <w:top w:val="none" w:sz="0" w:space="0" w:color="auto"/>
                        <w:left w:val="none" w:sz="0" w:space="0" w:color="auto"/>
                        <w:bottom w:val="none" w:sz="0" w:space="0" w:color="auto"/>
                        <w:right w:val="none" w:sz="0" w:space="0" w:color="auto"/>
                      </w:divBdr>
                    </w:div>
                    <w:div w:id="1601912146">
                      <w:marLeft w:val="0"/>
                      <w:marRight w:val="0"/>
                      <w:marTop w:val="0"/>
                      <w:marBottom w:val="0"/>
                      <w:divBdr>
                        <w:top w:val="none" w:sz="0" w:space="0" w:color="auto"/>
                        <w:left w:val="none" w:sz="0" w:space="0" w:color="auto"/>
                        <w:bottom w:val="none" w:sz="0" w:space="0" w:color="auto"/>
                        <w:right w:val="none" w:sz="0" w:space="0" w:color="auto"/>
                      </w:divBdr>
                    </w:div>
                    <w:div w:id="279729468">
                      <w:marLeft w:val="0"/>
                      <w:marRight w:val="0"/>
                      <w:marTop w:val="0"/>
                      <w:marBottom w:val="0"/>
                      <w:divBdr>
                        <w:top w:val="none" w:sz="0" w:space="0" w:color="auto"/>
                        <w:left w:val="none" w:sz="0" w:space="0" w:color="auto"/>
                        <w:bottom w:val="none" w:sz="0" w:space="0" w:color="auto"/>
                        <w:right w:val="none" w:sz="0" w:space="0" w:color="auto"/>
                      </w:divBdr>
                    </w:div>
                    <w:div w:id="2147237532">
                      <w:marLeft w:val="0"/>
                      <w:marRight w:val="0"/>
                      <w:marTop w:val="0"/>
                      <w:marBottom w:val="0"/>
                      <w:divBdr>
                        <w:top w:val="none" w:sz="0" w:space="0" w:color="auto"/>
                        <w:left w:val="none" w:sz="0" w:space="0" w:color="auto"/>
                        <w:bottom w:val="none" w:sz="0" w:space="0" w:color="auto"/>
                        <w:right w:val="none" w:sz="0" w:space="0" w:color="auto"/>
                      </w:divBdr>
                    </w:div>
                    <w:div w:id="19055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29462">
      <w:bodyDiv w:val="1"/>
      <w:marLeft w:val="0"/>
      <w:marRight w:val="0"/>
      <w:marTop w:val="0"/>
      <w:marBottom w:val="0"/>
      <w:divBdr>
        <w:top w:val="none" w:sz="0" w:space="0" w:color="auto"/>
        <w:left w:val="none" w:sz="0" w:space="0" w:color="auto"/>
        <w:bottom w:val="none" w:sz="0" w:space="0" w:color="auto"/>
        <w:right w:val="none" w:sz="0" w:space="0" w:color="auto"/>
      </w:divBdr>
    </w:div>
    <w:div w:id="486287370">
      <w:bodyDiv w:val="1"/>
      <w:marLeft w:val="0"/>
      <w:marRight w:val="0"/>
      <w:marTop w:val="0"/>
      <w:marBottom w:val="0"/>
      <w:divBdr>
        <w:top w:val="none" w:sz="0" w:space="0" w:color="auto"/>
        <w:left w:val="none" w:sz="0" w:space="0" w:color="auto"/>
        <w:bottom w:val="none" w:sz="0" w:space="0" w:color="auto"/>
        <w:right w:val="none" w:sz="0" w:space="0" w:color="auto"/>
      </w:divBdr>
    </w:div>
    <w:div w:id="506605142">
      <w:bodyDiv w:val="1"/>
      <w:marLeft w:val="0"/>
      <w:marRight w:val="0"/>
      <w:marTop w:val="0"/>
      <w:marBottom w:val="0"/>
      <w:divBdr>
        <w:top w:val="none" w:sz="0" w:space="0" w:color="auto"/>
        <w:left w:val="none" w:sz="0" w:space="0" w:color="auto"/>
        <w:bottom w:val="none" w:sz="0" w:space="0" w:color="auto"/>
        <w:right w:val="none" w:sz="0" w:space="0" w:color="auto"/>
      </w:divBdr>
    </w:div>
    <w:div w:id="860778941">
      <w:bodyDiv w:val="1"/>
      <w:marLeft w:val="0"/>
      <w:marRight w:val="0"/>
      <w:marTop w:val="0"/>
      <w:marBottom w:val="0"/>
      <w:divBdr>
        <w:top w:val="none" w:sz="0" w:space="0" w:color="auto"/>
        <w:left w:val="none" w:sz="0" w:space="0" w:color="auto"/>
        <w:bottom w:val="none" w:sz="0" w:space="0" w:color="auto"/>
        <w:right w:val="none" w:sz="0" w:space="0" w:color="auto"/>
      </w:divBdr>
    </w:div>
    <w:div w:id="1438867086">
      <w:bodyDiv w:val="1"/>
      <w:marLeft w:val="0"/>
      <w:marRight w:val="0"/>
      <w:marTop w:val="0"/>
      <w:marBottom w:val="0"/>
      <w:divBdr>
        <w:top w:val="none" w:sz="0" w:space="0" w:color="auto"/>
        <w:left w:val="none" w:sz="0" w:space="0" w:color="auto"/>
        <w:bottom w:val="none" w:sz="0" w:space="0" w:color="auto"/>
        <w:right w:val="none" w:sz="0" w:space="0" w:color="auto"/>
      </w:divBdr>
    </w:div>
    <w:div w:id="1449620221">
      <w:bodyDiv w:val="1"/>
      <w:marLeft w:val="0"/>
      <w:marRight w:val="0"/>
      <w:marTop w:val="0"/>
      <w:marBottom w:val="0"/>
      <w:divBdr>
        <w:top w:val="none" w:sz="0" w:space="0" w:color="auto"/>
        <w:left w:val="none" w:sz="0" w:space="0" w:color="auto"/>
        <w:bottom w:val="none" w:sz="0" w:space="0" w:color="auto"/>
        <w:right w:val="none" w:sz="0" w:space="0" w:color="auto"/>
      </w:divBdr>
    </w:div>
    <w:div w:id="1652562298">
      <w:bodyDiv w:val="1"/>
      <w:marLeft w:val="0"/>
      <w:marRight w:val="0"/>
      <w:marTop w:val="0"/>
      <w:marBottom w:val="0"/>
      <w:divBdr>
        <w:top w:val="none" w:sz="0" w:space="0" w:color="auto"/>
        <w:left w:val="none" w:sz="0" w:space="0" w:color="auto"/>
        <w:bottom w:val="none" w:sz="0" w:space="0" w:color="auto"/>
        <w:right w:val="none" w:sz="0" w:space="0" w:color="auto"/>
      </w:divBdr>
    </w:div>
    <w:div w:id="1736513999">
      <w:bodyDiv w:val="1"/>
      <w:marLeft w:val="0"/>
      <w:marRight w:val="0"/>
      <w:marTop w:val="0"/>
      <w:marBottom w:val="0"/>
      <w:divBdr>
        <w:top w:val="none" w:sz="0" w:space="0" w:color="auto"/>
        <w:left w:val="none" w:sz="0" w:space="0" w:color="auto"/>
        <w:bottom w:val="none" w:sz="0" w:space="0" w:color="auto"/>
        <w:right w:val="none" w:sz="0" w:space="0" w:color="auto"/>
      </w:divBdr>
    </w:div>
    <w:div w:id="2032141236">
      <w:bodyDiv w:val="1"/>
      <w:marLeft w:val="0"/>
      <w:marRight w:val="0"/>
      <w:marTop w:val="0"/>
      <w:marBottom w:val="0"/>
      <w:divBdr>
        <w:top w:val="none" w:sz="0" w:space="0" w:color="auto"/>
        <w:left w:val="none" w:sz="0" w:space="0" w:color="auto"/>
        <w:bottom w:val="none" w:sz="0" w:space="0" w:color="auto"/>
        <w:right w:val="none" w:sz="0" w:space="0" w:color="auto"/>
      </w:divBdr>
      <w:divsChild>
        <w:div w:id="730351034">
          <w:marLeft w:val="1080"/>
          <w:marRight w:val="0"/>
          <w:marTop w:val="100"/>
          <w:marBottom w:val="0"/>
          <w:divBdr>
            <w:top w:val="none" w:sz="0" w:space="0" w:color="auto"/>
            <w:left w:val="none" w:sz="0" w:space="0" w:color="auto"/>
            <w:bottom w:val="none" w:sz="0" w:space="0" w:color="auto"/>
            <w:right w:val="none" w:sz="0" w:space="0" w:color="auto"/>
          </w:divBdr>
        </w:div>
        <w:div w:id="577860616">
          <w:marLeft w:val="1080"/>
          <w:marRight w:val="0"/>
          <w:marTop w:val="100"/>
          <w:marBottom w:val="0"/>
          <w:divBdr>
            <w:top w:val="none" w:sz="0" w:space="0" w:color="auto"/>
            <w:left w:val="none" w:sz="0" w:space="0" w:color="auto"/>
            <w:bottom w:val="none" w:sz="0" w:space="0" w:color="auto"/>
            <w:right w:val="none" w:sz="0" w:space="0" w:color="auto"/>
          </w:divBdr>
        </w:div>
        <w:div w:id="1018388114">
          <w:marLeft w:val="1080"/>
          <w:marRight w:val="0"/>
          <w:marTop w:val="100"/>
          <w:marBottom w:val="0"/>
          <w:divBdr>
            <w:top w:val="none" w:sz="0" w:space="0" w:color="auto"/>
            <w:left w:val="none" w:sz="0" w:space="0" w:color="auto"/>
            <w:bottom w:val="none" w:sz="0" w:space="0" w:color="auto"/>
            <w:right w:val="none" w:sz="0" w:space="0" w:color="auto"/>
          </w:divBdr>
        </w:div>
        <w:div w:id="1918056216">
          <w:marLeft w:val="1080"/>
          <w:marRight w:val="0"/>
          <w:marTop w:val="100"/>
          <w:marBottom w:val="0"/>
          <w:divBdr>
            <w:top w:val="none" w:sz="0" w:space="0" w:color="auto"/>
            <w:left w:val="none" w:sz="0" w:space="0" w:color="auto"/>
            <w:bottom w:val="none" w:sz="0" w:space="0" w:color="auto"/>
            <w:right w:val="none" w:sz="0" w:space="0" w:color="auto"/>
          </w:divBdr>
        </w:div>
        <w:div w:id="349915762">
          <w:marLeft w:val="1080"/>
          <w:marRight w:val="0"/>
          <w:marTop w:val="100"/>
          <w:marBottom w:val="0"/>
          <w:divBdr>
            <w:top w:val="none" w:sz="0" w:space="0" w:color="auto"/>
            <w:left w:val="none" w:sz="0" w:space="0" w:color="auto"/>
            <w:bottom w:val="none" w:sz="0" w:space="0" w:color="auto"/>
            <w:right w:val="none" w:sz="0" w:space="0" w:color="auto"/>
          </w:divBdr>
        </w:div>
        <w:div w:id="21134298">
          <w:marLeft w:val="1080"/>
          <w:marRight w:val="0"/>
          <w:marTop w:val="100"/>
          <w:marBottom w:val="0"/>
          <w:divBdr>
            <w:top w:val="none" w:sz="0" w:space="0" w:color="auto"/>
            <w:left w:val="none" w:sz="0" w:space="0" w:color="auto"/>
            <w:bottom w:val="none" w:sz="0" w:space="0" w:color="auto"/>
            <w:right w:val="none" w:sz="0" w:space="0" w:color="auto"/>
          </w:divBdr>
        </w:div>
        <w:div w:id="2009870466">
          <w:marLeft w:val="1080"/>
          <w:marRight w:val="0"/>
          <w:marTop w:val="100"/>
          <w:marBottom w:val="0"/>
          <w:divBdr>
            <w:top w:val="none" w:sz="0" w:space="0" w:color="auto"/>
            <w:left w:val="none" w:sz="0" w:space="0" w:color="auto"/>
            <w:bottom w:val="none" w:sz="0" w:space="0" w:color="auto"/>
            <w:right w:val="none" w:sz="0" w:space="0" w:color="auto"/>
          </w:divBdr>
        </w:div>
        <w:div w:id="266620362">
          <w:marLeft w:val="1080"/>
          <w:marRight w:val="0"/>
          <w:marTop w:val="100"/>
          <w:marBottom w:val="0"/>
          <w:divBdr>
            <w:top w:val="none" w:sz="0" w:space="0" w:color="auto"/>
            <w:left w:val="none" w:sz="0" w:space="0" w:color="auto"/>
            <w:bottom w:val="none" w:sz="0" w:space="0" w:color="auto"/>
            <w:right w:val="none" w:sz="0" w:space="0" w:color="auto"/>
          </w:divBdr>
        </w:div>
        <w:div w:id="143886630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ost.unm.edu/promotion-and-tenure/guidelines/provosts-promotion-tenure-guidelines/index.html" TargetMode="External"/><Relationship Id="rId13" Type="http://schemas.openxmlformats.org/officeDocument/2006/relationships/hyperlink" Target="https://provost.unm.edu/promotion-and-tenure/guidelines/provosts-promotion-tenure-guidelines/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gineering.unm.edu/faculty/resources-for-faculty.html" TargetMode="External"/><Relationship Id="rId12" Type="http://schemas.openxmlformats.org/officeDocument/2006/relationships/hyperlink" Target="https://ctl.unm.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tl.unm.edu/instructors/teaching-feedback/teaching-observations.html" TargetMode="External"/><Relationship Id="rId5" Type="http://schemas.openxmlformats.org/officeDocument/2006/relationships/footnotes" Target="footnotes.xml"/><Relationship Id="rId15" Type="http://schemas.openxmlformats.org/officeDocument/2006/relationships/hyperlink" Target="https://handbook.unm.edu/b4/" TargetMode="External"/><Relationship Id="rId10" Type="http://schemas.openxmlformats.org/officeDocument/2006/relationships/hyperlink" Target="https://engineering.unm.edu/faculty/resources-for-faculty.ht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oap.unm.edu/faculty/compensation/documents/opt-out-notifica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2561</Words>
  <Characters>14602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Moses</dc:creator>
  <cp:keywords/>
  <dc:description/>
  <cp:lastModifiedBy>Eva Y. Chi</cp:lastModifiedBy>
  <cp:revision>7</cp:revision>
  <cp:lastPrinted>2024-09-26T14:04:00Z</cp:lastPrinted>
  <dcterms:created xsi:type="dcterms:W3CDTF">2025-01-14T18:15:00Z</dcterms:created>
  <dcterms:modified xsi:type="dcterms:W3CDTF">2025-01-14T19:12:00Z</dcterms:modified>
</cp:coreProperties>
</file>